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17479.3-85</w:t>
        <w:br/>
        <w:t>"Масла гидравлические. Классификация и обозначение"</w:t>
        <w:br/>
        <w:t>(утв. постановлением Госстандарта СССР от 20 декабря 1985 г. N 4380)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Hydraulic oils. Classification and designation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1987 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Настоящий стандарт устанавливает классификацию и обозначение гидравлических масел, применяемых в гидростатических системах летательных аппаратов, подвижной наземной, судовой техники и других механизмах, эксплуатируемых на открытом воздухе.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End w:id="1"/>
      <w:r>
        <w:rPr>
          <w:rFonts w:cs="Arial" w:ascii="Arial" w:hAnsi="Arial"/>
          <w:sz w:val="20"/>
          <w:szCs w:val="20"/>
        </w:rPr>
        <w:t>Стандарт не распространяется на гидравлические масла, применяемые для промышленного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2"/>
      <w:r>
        <w:rPr>
          <w:rFonts w:cs="Arial" w:ascii="Arial" w:hAnsi="Arial"/>
          <w:sz w:val="20"/>
          <w:szCs w:val="20"/>
        </w:rPr>
        <w:t>2. Обозначение гидравлических масел состоит из групп знаков, первая из которых обозначается буквами МГ (минеральное гидравлическое); вторая группа знаков обозначается цифрами и характеризует класс кинематической вязкости; третья - обозначается буквами и указывает на принадлежность масла к группе по эксплуатационным свойствам.</w:t>
      </w:r>
    </w:p>
    <w:p>
      <w:pPr>
        <w:pStyle w:val="Normal"/>
        <w:autoSpaceDE w:val="false"/>
        <w:ind w:firstLine="720"/>
        <w:jc w:val="both"/>
        <w:rPr/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 xml:space="preserve">3. В зависимости от кинематической вязкости при температуре 40°С гидравлические масла делят на классы, указанные в </w:t>
      </w:r>
      <w:hyperlink w:anchor="sub_1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3"/>
      <w:bookmarkStart w:id="6" w:name="sub_3"/>
      <w:bookmarkEnd w:id="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" w:name="sub_10"/>
      <w:bookmarkEnd w:id="7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0"/>
      <w:bookmarkStart w:id="9" w:name="sub_10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вязкости           │    Кинематическая вязкость при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40°С, мм2/с (сСт)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1"/>
      <w:bookmarkEnd w:id="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   │             4,14-5,06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1"/>
      <w:bookmarkEnd w:id="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2"/>
      <w:bookmarkEnd w:id="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        │             6,12-7,48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2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3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  │            9,00-11,00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3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4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  │            13,50-16,50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4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5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          │            19,80-24,20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5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6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             │            28,80-35,20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6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7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                 │            41,40-50,60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7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8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68                 │            61,20-74,80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8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9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│           90,00-110,00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9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91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│           135,00-165,00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91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0" w:name="sub_4"/>
      <w:bookmarkEnd w:id="30"/>
      <w:r>
        <w:rPr>
          <w:rFonts w:cs="Arial" w:ascii="Arial" w:hAnsi="Arial"/>
          <w:sz w:val="20"/>
          <w:szCs w:val="20"/>
        </w:rPr>
        <w:t xml:space="preserve">4. В зависимости от эксплуатационных свойств и состава (наличия соответствующих функциональных присадок) гидравлические масла делят на группы А, Б, В, указанные в </w:t>
      </w:r>
      <w:hyperlink w:anchor="sub_2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4"/>
      <w:bookmarkStart w:id="32" w:name="sub_4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20"/>
      <w:bookmarkEnd w:id="33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0"/>
      <w:bookmarkStart w:id="35" w:name="sub_20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│Состав гидравлических масел │     Рекомендуемая область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 по │                            │          применения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эксплуата-│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ционным  │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свойствам │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21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│Минеральные    масла     без│Гидросистемы   с   шестеренными│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21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присадок                    │поршневыми насосами, работающие│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давлении  до  15     МПа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масла в  объеме 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80°С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22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  │Минеральные          масла с│Гидросистемы  с  насосами  всех│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2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антиокислительными         и│типов, работающие при  давлении│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антикоррозионными присадками│до 25 МПа и температуре масла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объеме более 80°С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23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│Минеральные          масла с│Гидросистемы  с  насосами  всех│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3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антиокислительными,         │типов, работающие при  давлении│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антикоррозионными          и│свыше  25  МПа  и   температуре│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противоизносными присадками │масла в объеме более 90°С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└──────────┴────────────────────────────┴───────────────────────────────┘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добавление в гидравлические масла всех групп загущающих и антипенных присадок.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обозначения гидравлических масел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МГ-15-В,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МГ - минеральное гидравлическое масло;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15 - класс вязкости;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- группа масла по эксплуатационным свойствам.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/>
      </w:pPr>
      <w:bookmarkStart w:id="42" w:name="sub_41"/>
      <w:bookmarkEnd w:id="42"/>
      <w:r>
        <w:rPr>
          <w:rFonts w:cs="Arial" w:ascii="Arial" w:hAnsi="Arial"/>
          <w:sz w:val="20"/>
          <w:szCs w:val="20"/>
        </w:rPr>
        <w:t xml:space="preserve">4.1. Группу гидравлических масел устанавливают по результатам оценки их свойств (стабильность против окисления по ГОСТ 981 - для масел </w:t>
      </w:r>
      <w:hyperlink w:anchor="sub_22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групп Б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3">
        <w:r>
          <w:rPr>
            <w:rStyle w:val="Style15"/>
            <w:rFonts w:cs="Arial" w:ascii="Arial" w:hAnsi="Arial"/>
            <w:sz w:val="20"/>
            <w:szCs w:val="20"/>
            <w:u w:val="single"/>
          </w:rPr>
          <w:t>В</w:t>
        </w:r>
      </w:hyperlink>
      <w:r>
        <w:rPr>
          <w:rFonts w:cs="Arial" w:ascii="Arial" w:hAnsi="Arial"/>
          <w:sz w:val="20"/>
          <w:szCs w:val="20"/>
        </w:rPr>
        <w:t xml:space="preserve">, смазывающие свойства по ГОСТ 9490 - для масел </w:t>
      </w:r>
      <w:hyperlink w:anchor="sub_23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группы В</w:t>
        </w:r>
      </w:hyperlink>
      <w:r>
        <w:rPr>
          <w:rFonts w:cs="Arial" w:ascii="Arial" w:hAnsi="Arial"/>
          <w:sz w:val="20"/>
          <w:szCs w:val="20"/>
        </w:rPr>
        <w:t>) при разработке новых масел, постановке на производство, а также при периодических испытаниях товарных масел (по графикам, согласованным с потребителем) 1 раз в 2 года. Нормы по этим показателям указаны в нормативно-технической документации на масла.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1"/>
      <w:bookmarkEnd w:id="43"/>
      <w:r>
        <w:rPr>
          <w:rFonts w:cs="Arial" w:ascii="Arial" w:hAnsi="Arial"/>
          <w:b/>
          <w:bCs/>
          <w:sz w:val="20"/>
          <w:szCs w:val="20"/>
        </w:rPr>
        <w:t>(Введен дополнительно, Изм. N 1).</w:t>
      </w:r>
    </w:p>
    <w:p>
      <w:pPr>
        <w:pStyle w:val="Normal"/>
        <w:autoSpaceDE w:val="false"/>
        <w:ind w:firstLine="720"/>
        <w:jc w:val="both"/>
        <w:rPr/>
      </w:pPr>
      <w:bookmarkStart w:id="44" w:name="sub_5"/>
      <w:bookmarkEnd w:id="44"/>
      <w:r>
        <w:rPr>
          <w:rFonts w:cs="Arial" w:ascii="Arial" w:hAnsi="Arial"/>
          <w:sz w:val="20"/>
          <w:szCs w:val="20"/>
        </w:rPr>
        <w:t xml:space="preserve">5. Соответствие обозначений гидравлических масел по настоящему стандарту ранее принятым в нормативно-технической документации и международным классификациям дано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приложениях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5"/>
      <w:bookmarkStart w:id="46" w:name="sub_5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10000"/>
      <w:bookmarkStart w:id="48" w:name="sub_1000"/>
      <w:bookmarkEnd w:id="47"/>
      <w:bookmarkEnd w:id="48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10000"/>
      <w:bookmarkStart w:id="50" w:name="sub_1000"/>
      <w:bookmarkEnd w:id="49"/>
      <w:bookmarkEnd w:id="50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Соответствие гидравлических масел по настоящему стандарту принятым в нормативно-технической 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масла по │  Принятое обозначение  │Нормативно-техническая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настоящему стандарту │         масла          │     документация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МГ-22-А               │АУ                      │ТУ 38.1011232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МГ-32-А               │ЭШ                      │ГОСТ 10363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МГ-32-А               │МОВС</w:t>
      </w:r>
      <w:hyperlink w:anchor="sub_11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│ОСТ 38.01150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МГ-5-Б                │МГЕ-4А                  │ОСТ 38.01281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МГ-5-Б                │ЛЗ-МГ-2                 │ТУ 38.101328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МГ-7-Б                │РМ                      │ГОСТ 15819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МГ-10-Б               │РМЦ                     │ГОСТ 15819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МГ-15-Б               │АМГ-10                  │ГОСТ 6794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МГ-22-Б               │АУП                     │ТУ 38.1011258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МГ-46-Б               │МГ-30                   │ТУ 38.10150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МТ-15-В(с)            │ВМГЗ                    │ТУ 38.101479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МГ-15-В               │МГЕ-10А                 │ТУ 38.101572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МГ-22-В               │"Р"                     │ТУ 38.101179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МГ-46-В               │МГЕ-46В(МГ-30у)         │ТУ 38.001347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МГ-68-В               │МГ-8А (М-8А)            │ТУ 38.1011135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111"/>
      <w:bookmarkEnd w:id="51"/>
      <w:r>
        <w:rPr>
          <w:rFonts w:cs="Arial" w:ascii="Arial" w:hAnsi="Arial"/>
          <w:sz w:val="20"/>
          <w:szCs w:val="20"/>
        </w:rPr>
        <w:t>* МОВС - масло для механизмов опрокидывания вагонов-самосвалов.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111"/>
      <w:bookmarkStart w:id="53" w:name="sub_1111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Приложение 1.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2000"/>
      <w:bookmarkEnd w:id="54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5" w:name="sub_2000"/>
      <w:bookmarkEnd w:id="55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Соответствие групп гидравлических масел по настоящему стандарту классификации ИСО 6074-4-82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по настоящему стандарту   │      Группа по ИСО 6074-4-82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hyperlink w:anchor="sub_2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        НН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hyperlink w:anchor="sub_2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        HL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hyperlink w:anchor="sub_2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        НМ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Масла </w:t>
      </w:r>
      <w:hyperlink w:anchor="sub_2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группы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с загущающей    │                HV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присадкой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2007-02-27T13:22:00Z</dcterms:created>
  <dc:creator>VIKTOR</dc:creator>
  <dc:description/>
  <dc:language>ru-RU</dc:language>
  <cp:lastModifiedBy>VIKTOR</cp:lastModifiedBy>
  <dcterms:modified xsi:type="dcterms:W3CDTF">2007-03-12T13:13:00Z</dcterms:modified>
  <cp:revision>3</cp:revision>
  <dc:subject/>
  <dc:title/>
</cp:coreProperties>
</file>