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17479.1-85</w:t>
        <w:br/>
        <w:t>"Масла моторные. Классификация и обозначение"</w:t>
        <w:br/>
        <w:t>(утв. постановлением Госстандарта СССР от 20 декабря 1985 г. N 4380)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Motor oils. Classification and designation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1987 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17479-72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классификацию и обозначение моторных масел, применяемых в автомобилях, тракторах, тепловозах, сельскохозяйственной, дорожной, судовой и другой технике.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b/>
          <w:bCs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Обозначение моторных масел состоит из групп знаков, первая из которых обозначается буквой М (моторное) и не зависит от состава и свойств масла; вторая - цифрами, характеризующими класс кинематической вязкости; третья - прописными буквами и обозначает принадлежность к группе масел по эксплуатационным свойствам.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В зависимости от кинематической вязкости моторные масла делят на классы (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). Для всесезонных классов (обозначение дробью) указывают принадлежность к одному из зимних (числитель дроби) и одному из летних (знаменатель дроби) классов.</w:t>
      </w:r>
    </w:p>
    <w:p>
      <w:pPr>
        <w:pStyle w:val="Normal"/>
        <w:autoSpaceDE w:val="false"/>
        <w:ind w:firstLine="720"/>
        <w:jc w:val="both"/>
        <w:rPr/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 xml:space="preserve">При классификации моторных масел в соответствии с международными требованиями следует использовать таблицу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301"/>
      <w:bookmarkEnd w:id="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301"/>
      <w:bookmarkStart w:id="8" w:name="sub_30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вязкости    │   Кинематическая вязкость, мм2/с (сСт), при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+ 100°С         │   - 18°С, не более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3_3          │Не менее 3,8            │         1250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4_3          │"        "     4,1      │         2600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5_3          │"        "     5,6      │         6000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6_3          │"        "     5,6      │         10400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│Св.  5,6 до  7,0 включ.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│"    7,0 "   9,3 "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│"    9,3 "  11,5 "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│"   11,5 "  12,5 "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   │"   12,5 "  14,5 "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  │"   14,5 "  16,3 "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│"   16,3 "  21,9 "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   │"   21,9 "  26,1 "      │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3_3/8         │"    7,0 "   9,3 "      │         1250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4_3/6         │"    5,6 "   7,0 "      │         2600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4_3/8         │"    7,0 "   9,3 "      │         2600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4_3/10        │"    9,3 "  11,5 "      │         2600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5_3/10        │"    9,3 "  11,5 "      │         6000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5_3/12        │"   11,5 "  12,5 "      │         6000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5_3/14        │"   12,5 "  14,5 "      │         6000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6_3/10        │"    9,3 "  11,5 "      │         10400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6_3/14        │"   12,5 "  14,5 "      │         10400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6_3/16        │"   14,5 "  16,3 "      │         10400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11"/>
      <w:bookmarkEnd w:id="9"/>
      <w:r>
        <w:rPr>
          <w:rFonts w:cs="Arial" w:ascii="Arial" w:hAnsi="Arial"/>
          <w:sz w:val="20"/>
          <w:szCs w:val="20"/>
        </w:rPr>
        <w:t>* Определяется по номограмме до введения в действие стандарта на определение динамической вязкости при температурах ниже 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1"/>
      <w:bookmarkEnd w:id="10"/>
      <w:r>
        <w:rPr>
          <w:rFonts w:cs="Arial" w:ascii="Arial" w:hAnsi="Arial"/>
          <w:b/>
          <w:bCs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"/>
      <w:bookmarkEnd w:id="11"/>
      <w:r>
        <w:rPr>
          <w:rFonts w:cs="Arial" w:ascii="Arial" w:hAnsi="Arial"/>
          <w:sz w:val="20"/>
          <w:szCs w:val="20"/>
        </w:rPr>
        <w:t>4. В зависимости от области применения моторные масла делят на группы А, Б, В, Г, Д, Е (табл.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4"/>
      <w:bookmarkStart w:id="13" w:name="sub_4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402"/>
      <w:bookmarkEnd w:id="1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402"/>
      <w:bookmarkStart w:id="16" w:name="sub_40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масла по  │          Рекомендуемая область применения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эксплуатационным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│Нефорсированные бензиновые двигатели и дизели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│   Б_1   │Малофорсированные бензиновые двигатели, работающие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        способствующих         образованию│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высокотемпературных отложений и коррозии подшипников│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Б_2   │Малофорсированные дизели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│   В_1   │Среднефорсированные бензиновые двигатели, работающие│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условиях,  способствующих   окислению     масла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образованию всех видов отложений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В_2   │Среднефорсированные дизели, предъявляющие повышенные│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к   антикоррозионным,   противоизносным│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   масел   и   склонности   к   образованию│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высокотемпературных отложений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│   Г_1   │Высокофорсированные бензиновые двигатели, работающие│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тяжелых эксплуатационных условиях,  способствующих│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окислению масла, образованию всех  видов  отложений,│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 и ржавлению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Г_2   │Высокофорсированные  дизели  без   наддува   или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умеренным наддувом,  работающие  в  эксплуатационных│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        способствующих         образованию│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высокотемпературных отложений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│   Д_1   │Высокофорсированные бензиновые двигатели, работающие│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эксплуатационных условиях, более тяжелых  чем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масел группы Г1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Д_2   │Высокофорсированные дизели с наддувом, работающие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тяжелых   эксплуатационных   условиях      или когда│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применяемое топливо требует  использования   масел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высокой         нейтрализующей         способностью,│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антикоррозионными  и  противоизносными   свойствами,│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малой склонностью к образованию всех видов отложений│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│   E_1   │Высокофорсированные    бензиновые    и     дизельные│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двигатели, работающие в  эксплуатационных  условиях,│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Е_3   │более тяжелых, чем для масел групп Д1 и Д2.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Отличаются повышенной  диспергирующей  способностью,│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лучшими противоизносными свойствами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Индекс 1 присваивают маслам для бензиновых двигателей, индекс 2 - для дизелей. Универсальные моторные масла, предназначенные для использования как в дизелях, так и в бензиновых двигателях одного уровня форсирования (обозначаемые одинаковой буквой, </w:t>
      </w:r>
      <w:hyperlink w:anchor="sub_4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), индекса в обозначении не имеют. Универсальные моторные масла, принадлежащие к разным группам, должны иметь двойное обозначение, в котором первое характеризует качество масла при применении в дизелях, второе - в бензиновых двигателях.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обозначения моторных масел: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M-8-B_1,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где М - моторное масло, 8 - класс вязкости (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B_1 - масло для среднефорсированных бензиновых двигателей;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М-6_3/10-В,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где М - моторное масло, 6_3/10 - класс вязкости (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универсальное масло для среднефорсированных дизельных и бензиновых двигателей;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М-4_3/8-В_2Г_1,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где М - моторное масло, 4_3/8 - класс вязкости (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В_2Г_1 - масло для использования как в среднефорсированных дизелях (В_2), так и в высокофорсированных бензиновых двигателях (Г_1),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М-14-Д (цл20),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где М - моторное масло, 14 - класс вязкости (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 - масло для высокофорсированных дизелей с наддувом, цл 20 - масло может быть использовано в циркуляционных и лубрикаторных системах смазки и имеет щелочность около 20 мг КОН/г;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М-4_3/8-Д(т),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где М - моторное масло, 4_3/8 - класс вязкости (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 - масло для высокофорсированных дизелей с наддувом,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 - трансмиссионное масло.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 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1"/>
      <w:bookmarkEnd w:id="17"/>
      <w:r>
        <w:rPr>
          <w:rFonts w:cs="Arial" w:ascii="Arial" w:hAnsi="Arial"/>
          <w:sz w:val="20"/>
          <w:szCs w:val="20"/>
        </w:rPr>
        <w:t>4.1. Группу моторных масел устанавливают при разработке новых масел, постановке их на производство и сертификации товарных масел по результатам моторных испытаний, предусмотренных табл. 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41"/>
      <w:bookmarkStart w:id="19" w:name="sub_4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413"/>
      <w:bookmarkEnd w:id="20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13"/>
      <w:bookmarkStart w:id="22" w:name="sub_413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Определяемое   │          Группа масла           │  Метод испытания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свойство     │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├─────────────────┼────┬────┬───┬────┬────┬────┬────┼───────────────────┤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│В_1 │В_2│ Г  │Г_1 │Г_2 │Д_2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├─────────────────┼────┼────┼───┼────┼────┼────┼────┼───────────────────┤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Образование│    │    │   │    │    │    │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отложений:       │    │    │   │    │    │    │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├─────────────────┼────┼────┼───┼────┼────┼────┼────┼───────────────────┤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высоких│ +  │ +  │ - │ +  │ +  │ -  │ -  │По ГОСТ 20991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     │    │    │   │    │    │    │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├─────────────────┼────┼────┼───┼────┼────┼────┼────┼───────────────────┤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низких│ +  │ +  │ + │ +  │ +  │ +  │ +  │По ГОСТ 20994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     │    │    │   │    │    │    │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├─────────────────┼────┼────┼───┼────┼────┼────┼────┼───────────────────┤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      │ +  │ +  │ + │ +  │ +  │ +  │ +  │По ГОСТ  20457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Антиокислительные│    │    │   │    │    │    │    │методу      ИКМ-40Р│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         │    │    │   │    │    │    │    │(загущенные  масла)│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│   │    │    │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по   методике│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│   │    │    │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Питтер W-1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├─────────────────┼────┼────┼───┼────┼────┼────┼────┼───────────────────┤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Коррозионная│ +  │ +  │ + │ +  │ +  │ +  │ +  │Метод  ИКМ-40К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активность       │    │    │   │    │    │    │    │по методике  Питтер│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│   │    │    │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W-1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├─────────────────┼────┼────┼───┼────┼────┼────┼────┼───────────────────┤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-  │ - │ +  │ -  │ +  │ +  │или    по    методу│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│   │    │    │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Д-245К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├─────────────────┼────┼────┼───┼────┼────┼────┼────┼───────────────────┤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Моющие│ +  │ -  │ + │ +  │ -  │ +  │ +  │По ГОСТ 20303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         │ +  │ -  │ + │ -  │ -  │ +  │ -  │метод Д-240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├─────────────────┼────┼────┼───┼────┼────┼────┼────┼───────────────────┤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-  │ - │ +  │ -  │ +  │ +  │метод Д-245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└─────────────────┴────┴────┴───┴────┴────┴────┴────┴───────────────────┘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Проведение испытаний по данному показателю обозначено знаком "+".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Моторные свойства для масел групп Д, Д_1, Е, Е_1, Е_2 не нормируются до завершения работ по установлению их эксплуатационных характеристик (после чего вышеуказанные группы масел будут включены в таблицу).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ind w:firstLine="720"/>
        <w:jc w:val="both"/>
        <w:rPr/>
      </w:pPr>
      <w:bookmarkStart w:id="23" w:name="sub_5"/>
      <w:bookmarkEnd w:id="23"/>
      <w:r>
        <w:rPr>
          <w:rFonts w:cs="Arial" w:ascii="Arial" w:hAnsi="Arial"/>
          <w:sz w:val="20"/>
          <w:szCs w:val="20"/>
        </w:rPr>
        <w:t xml:space="preserve">5. Соответствие обозначений моторных масел по настоящему стандарту принятым в нормативно-технической документации и зарубежным классификациям приведено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1-3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5"/>
      <w:bookmarkStart w:id="25" w:name="sub_5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0"/>
      <w:bookmarkStart w:id="27" w:name="sub_1000"/>
      <w:bookmarkEnd w:id="26"/>
      <w:bookmarkEnd w:id="27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10"/>
      <w:bookmarkStart w:id="29" w:name="sub_1000"/>
      <w:bookmarkEnd w:id="28"/>
      <w:bookmarkEnd w:id="29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Соответствие обозначений моторных масел по настоящему стандарту принятым в нормативно-технической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масла по │  Принятое обозначение  │Нормативно-техническая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настоящему стандарту │         масла          │     документация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М-8-В                 │М-8В                    │ГОСТ 10541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M-4_3/6-B_1           │М-4_3/6В_1              │ГОСТ 10541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М-6_3/10-В            │М-6/10В                 │ГОСТ 10541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М-5_3/10-Г_1          │М-5_3/10Г_1             │ГОСТ 10541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М-6_3/12-Г_1          │М-6_3/12Г_1             │ГОСТ 10541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М-20-А                │МС-20П                  │ТУ 38.101265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М-16-Б_2(т)           │МТ-16П                  │ГОСТ 6360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М-8-А(т)              │Мт-8П                   │ТУ 38.101277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М-6_3/10-Б_2          │МТЗ-10П(М-6_3/10Б_2)    │ГОСТ 25770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М-14-Б_2              │М-14Б                   │ТУ 38.101264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М-10-В_2              │М-10В_2                 │ГОСТ 8581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M-8-B_2               │М-8В_2С                 │ТУ 38.401595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М-10-В_2(с)           │М-10В_2С  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М-14-В_2              │М-14В_2   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М-14-В_2(з)           │М-14В_23                │ГОСТ 23497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М-16-В_2              │М-16ИХП-3(М-16В_2)      │ГОСТ 25770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М-20-В_2              │М-20В_2                 │ГОСТ 23497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М-20-В_2(ф)           │М-20В_2Ф  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М-10-Г_2(цс)          │М-10Г_2ЦС 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М-8-Г_2               │М-8Г_2                  │ГОСТ 8581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М-10-Г_2              │М-10Г_2                 │ГОСТ 8581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М-8-Г_2(к)            │М-8Г_2к                 │ГОСТ 8581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М-10-Г_2(к)           │М-10Г_2к                │ГОСТ 8581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М-10-Г_2(у)           │М-10Г_2У                │ТУ 38.401-58-21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М-8-Г_2(ки)           │М-8Г_2КИ                │ТУ 38.1011278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М-10-Г_2(ки)          │М-10Г_2КИ               │ТУ 38.1011278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М-14-Г_2(цс)          │М-14Г_2ЦС 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М-14-Г_2              │М-14Г_2   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М-16-Г_2(цс)          │М-16Г_2ЦС 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М-20-Г_2              │М-20Г_2   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М-10-Д_2(м)           │М-10ДМ                  │ГОСТ 8581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М-8-Д_2(м)            │М-8ДМ                   │ГОСТ 8581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М-14-Д_2(м)           │М-14ДМ                  │ТУ 38.401682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М-10-Д_2(цл 20)       │М-10ДЦЛ-20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М-14-Д_2(цл 20)       │М-14ДЦЛ-20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М-14-Д_2(цл 30)       │М-14ДЦЛ-30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М-16-Д_2(р)           │М-16ДР                  │ГОСТ 12337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М-4/8Г(рк)            │М-4_3/8ГРК              │ТУ 38.401699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М-8-Г_2(У)            │М-8Г_2У                 │ТУ 38.401-58-21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М-6/14-Д_2(м)         │М-6/14ДМ                │ТУ 38.401-938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М-14-Г_2(к)           │М-14Г_2К                │ТУ 38.401-58-98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2000"/>
      <w:bookmarkEnd w:id="30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2000"/>
      <w:bookmarkEnd w:id="31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Ориентировочное соответствие классов вязкости моторных масел настоящего стандарта классификации SAE J 300 JUN 87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вязкости │Класс по SAE J 300│ Класс вязкости  │ Класс по SAE J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JUN 87      │                 │   300 JUN 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3_3       │        5W        │       24        │       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4_3       │       10W        │      3_3/8      │      5W-20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5_3       │       15W        │      4_3/6      │     10W-20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6_3       │       20W        │      4_3/8      │     10W-20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     20        │     4_3/10      │     10W-30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│        20        │     5_3/10      │     15W-30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 30        │     5_3/12      │     15W-30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       30        │     5_3/14      │     15W-40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│        40        │     6_3/10      │     20W-30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       40        │     6_3/14      │     20W-40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  50        │     6_3/16      │     20W-40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Приложения 1, 2. (Измененная редакция, Изм. N 2,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3000"/>
      <w:bookmarkEnd w:id="3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3000"/>
      <w:bookmarkEnd w:id="33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Ориентировочное соответствие групп моторных масел по эксплуатационным свойствам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масел по │Классификация API │ Группы масел по │ Классификация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настоящему   │                  │   настоящему    │      API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стандарту    │                  │    стандарту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SB        │       Г_1       │       SE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│      SC/CA       │       Г_2       │       СС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Б_1       │        SC        │        Д        │     CD/SF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Б_2       │        CA        │       Д_1       │       SF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│      SD/CB       │       Д_2       │       CD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В_1       │        SD        │        Е        │    CF-4/SG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В_2       │        CB        │       Е_1       │       SG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│      SE/CC       │       Е_2       │      CF-4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3. (Измененная редакция,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4000"/>
      <w:bookmarkEnd w:id="34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4000"/>
      <w:bookmarkEnd w:id="35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Классы SAE по вязкости для моторных масел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Классы SAE по  │     Вязкость     │   Температура   │Вязкость (см. </w:t>
      </w:r>
      <w:hyperlink w:anchor="sub_4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примечания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вязкости    │ (см. </w:t>
      </w:r>
      <w:hyperlink w:anchor="sub_4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примечание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прокачиваемости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4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мм2/с, при 100°С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),        │ (см. </w:t>
      </w:r>
      <w:hyperlink w:anchor="sub_4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примечание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мПа х с, при   │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</w:t>
      </w:r>
      <w:r>
        <w:rPr>
          <w:rFonts w:cs="Courier New" w:ascii="Courier New" w:hAnsi="Courier New"/>
          <w:sz w:val="20"/>
          <w:szCs w:val="20"/>
          <w:lang w:val="ru-RU" w:eastAsia="ru-RU"/>
        </w:rPr>
        <w:t>), °С, макс.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температуре, °С, │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макс.       │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OW       │  3250 при - 30   │      - 35       │      Не менее 3,8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5W       │  3500  "  - 25   │      - 30       │      "    "   3,8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10W       │  3500  "  - 20   │      - 25       │      "    "   4,1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15W       │  3500  "  - 15   │      - 20       │      "    "   5,6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20W       │  4500  "  - 10   │      - 15       │      "    "   5,6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25W       │   6000  "  - 5   │      - 10       │      "    "   9,3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     -         │        -        │ Св. 5,6 до  9,3 включ.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│        -         │        -        │    "   9,3 "  12,5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       -         │        -        │    "  12,5 "  16,3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     -         │        -        │    "  16,3 "  21,9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│        -         │        -        │    "  21,9 "  26,1 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001"/>
      <w:bookmarkEnd w:id="36"/>
      <w:r>
        <w:rPr>
          <w:rFonts w:cs="Arial" w:ascii="Arial" w:hAnsi="Arial"/>
          <w:sz w:val="20"/>
          <w:szCs w:val="20"/>
        </w:rPr>
        <w:t>1. Динамическую вязкость определяют по методу ASTM D 2602 "Метод определения кажущейся вязкости моторных масел в диапазоне от минус 40 до 0°С на имитаторе холодного пуска (CCS).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001"/>
      <w:bookmarkStart w:id="38" w:name="sub_4002"/>
      <w:bookmarkEnd w:id="37"/>
      <w:bookmarkEnd w:id="38"/>
      <w:r>
        <w:rPr>
          <w:rFonts w:cs="Arial" w:ascii="Arial" w:hAnsi="Arial"/>
          <w:sz w:val="20"/>
          <w:szCs w:val="20"/>
        </w:rPr>
        <w:t>2. Для определения предельной температуры прокачиваемости моторных масел SAE 0W, 20W, 25W используют метод ASTM D 3829 или СЕС L-32-T-82.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002"/>
      <w:bookmarkEnd w:id="39"/>
      <w:r>
        <w:rPr>
          <w:rFonts w:cs="Arial" w:ascii="Arial" w:hAnsi="Arial"/>
          <w:sz w:val="20"/>
          <w:szCs w:val="20"/>
        </w:rPr>
        <w:t>Для определения предельной температуры прокачиваемости моторных масел SAE 5W, 10W и 15W используют метод ASTM D 4684.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003"/>
      <w:bookmarkEnd w:id="40"/>
      <w:r>
        <w:rPr>
          <w:rFonts w:cs="Arial" w:ascii="Arial" w:hAnsi="Arial"/>
          <w:sz w:val="20"/>
          <w:szCs w:val="20"/>
        </w:rPr>
        <w:t>3. Кинематическую вязкость определяют в капиллярном вискозиметре по методу ASTM D 445.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003"/>
      <w:bookmarkStart w:id="42" w:name="sub_4004"/>
      <w:bookmarkEnd w:id="41"/>
      <w:bookmarkEnd w:id="42"/>
      <w:r>
        <w:rPr>
          <w:rFonts w:cs="Arial" w:ascii="Arial" w:hAnsi="Arial"/>
          <w:sz w:val="20"/>
          <w:szCs w:val="20"/>
        </w:rPr>
        <w:t>4. Некоторые изготовители двигателей рекомендуют также пределы вязкости, измеренной при температуре 150°С и скорости сдвига 10(6) с(-1).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4004"/>
      <w:bookmarkStart w:id="44" w:name="sub_4004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4. (Введено дополнительно, Изм. N 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2007-02-27T13:21:00Z</dcterms:created>
  <dc:creator>VIKTOR</dc:creator>
  <dc:description/>
  <dc:language>ru-RU</dc:language>
  <cp:lastModifiedBy>VIKTOR</cp:lastModifiedBy>
  <dcterms:modified xsi:type="dcterms:W3CDTF">2007-03-12T13:13:00Z</dcterms:modified>
  <cp:revision>3</cp:revision>
  <dc:subject/>
  <dc:title/>
</cp:coreProperties>
</file>