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14624-84</w:t>
        <w:br/>
        <w:t>"Двери деревянные для производственных зданий.</w:t>
        <w:br/>
        <w:t>Типы, конструкция и размеры"</w:t>
        <w:br/>
        <w:t>(утв. постановлением Госстроя СССР от 13 марта 1984 г. N 22)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Wood doors for industrial buildings., construction and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Взамен ГОСТ 14624-69 и ГОСТ 17324-71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ОКП 53 6138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Срок введения установлен с 1 июля 1985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деревянные внутренние и наружные двери для производственных зданий промышленных и сельскохозяйственных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двери специального исполнения (трудносгораемые, несгораемые, звукоизолирующие).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Типы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В зависимости от назначения двери подразделяют на: В - внутренние; Н - наружные.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В зависимости от конструкции двери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Г - с притвором в четверть, с глухими полотнами;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- с притвором в четверть, с остекленными полотнами;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с остекленными качающимися полотнами.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Двери типа В изготовляют щитовыми со сплошным или мелкопустотным (решетчатым) заполнением дверных полотен.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Двери типа Н изготовляют со сплошными щитовыми или рамочными полотнами. Щитовые полотна допускается изготовлять без обшивки с реечной обшивкой.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End w:id="10"/>
      <w:r>
        <w:rPr>
          <w:rFonts w:cs="Arial" w:ascii="Arial" w:hAnsi="Arial"/>
          <w:sz w:val="20"/>
          <w:szCs w:val="20"/>
        </w:rPr>
        <w:t>Двери типа Н относят к изделиям повышенной влагостойкости.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5"/>
      <w:bookmarkEnd w:id="11"/>
      <w:r>
        <w:rPr>
          <w:rFonts w:cs="Arial" w:ascii="Arial" w:hAnsi="Arial"/>
          <w:sz w:val="20"/>
          <w:szCs w:val="20"/>
        </w:rPr>
        <w:t>1.5. Двери типов Г и О изготовляют правыми и левыми, с порогом и без порога. Двери типа К изготовляют только двупольными остекленными.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Start w:id="13" w:name="sub_16"/>
      <w:bookmarkEnd w:id="12"/>
      <w:bookmarkEnd w:id="13"/>
      <w:r>
        <w:rPr>
          <w:rFonts w:cs="Arial" w:ascii="Arial" w:hAnsi="Arial"/>
          <w:sz w:val="20"/>
          <w:szCs w:val="20"/>
        </w:rPr>
        <w:t>1.6. Типы и размеры дверных блоков должны соответствовать указанным на черт.1 и 2. Двери с размерами, не указанными на черт. 1 и 2, принимают по ГОСТ 6629-88 и ГОСТ 24698-81.</w:t>
      </w:r>
    </w:p>
    <w:p>
      <w:pPr>
        <w:pStyle w:val="Normal"/>
        <w:autoSpaceDE w:val="false"/>
        <w:ind w:firstLine="720"/>
        <w:jc w:val="both"/>
        <w:rPr/>
      </w:pPr>
      <w:bookmarkStart w:id="14" w:name="sub_16"/>
      <w:bookmarkStart w:id="15" w:name="sub_17"/>
      <w:bookmarkEnd w:id="14"/>
      <w:bookmarkEnd w:id="15"/>
      <w:r>
        <w:rPr>
          <w:rFonts w:cs="Arial" w:ascii="Arial" w:hAnsi="Arial"/>
          <w:sz w:val="20"/>
          <w:szCs w:val="20"/>
        </w:rPr>
        <w:t xml:space="preserve">1.7. Размеры полотен и коробок внутренних дверей, форма, размеры элементов и сечений их деталей должны соответствовать указанным на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3, 5, 7, 8</w:t>
        </w:r>
      </w:hyperlink>
      <w:r>
        <w:rPr>
          <w:rFonts w:cs="Arial" w:ascii="Arial" w:hAnsi="Arial"/>
          <w:sz w:val="20"/>
          <w:szCs w:val="20"/>
        </w:rPr>
        <w:t xml:space="preserve">, а наружных - на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4, 6, 9, 10 и 11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7"/>
      <w:bookmarkEnd w:id="1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8954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4000"/>
      <w:bookmarkStart w:id="18" w:name="sub_4000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4000"/>
      <w:bookmarkEnd w:id="19"/>
      <w:r>
        <w:rPr>
          <w:rFonts w:cs="Arial" w:ascii="Arial" w:hAnsi="Arial"/>
          <w:sz w:val="20"/>
          <w:szCs w:val="20"/>
        </w:rPr>
        <w:t>"Черт. 1. Типы и размеры внутренних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5412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2. Типы и размеры наружних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1513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3. Размеры полотен внутренних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6915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4. Размеры полотен наружних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35977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7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5. Размеры коробок внутренних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89470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5. Размеры коробок внутренних дверей" (начало)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85648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6. Размеры коробок наружных дверей" (окончание)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16027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7. Сечение по притворам внутренних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584440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"Сечение по средним притворам внутренних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0538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8. Сечение элементов полотен по кромкам внутренних и наружных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27393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9. Сечение деталей наружных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3964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10. Сечение по средним притворам"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87930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 11. Сечение по средним притворам. Двери щитовые с обшивкой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проемов приведены в справочном условного обозначения дверей</w:t>
      </w:r>
    </w:p>
    <w:p>
      <w:pPr>
        <w:pStyle w:val="Normal"/>
        <w:autoSpaceDE w:val="false"/>
        <w:ind w:firstLine="720"/>
        <w:jc w:val="both"/>
        <w:rPr/>
      </w:pPr>
      <w:bookmarkStart w:id="20" w:name="sub_18"/>
      <w:bookmarkEnd w:id="20"/>
      <w:r>
        <w:rPr>
          <w:rFonts w:cs="Arial" w:ascii="Arial" w:hAnsi="Arial"/>
          <w:sz w:val="20"/>
          <w:szCs w:val="20"/>
        </w:rPr>
        <w:t xml:space="preserve">1.8. Устанавливают следующую структуру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8"/>
      <w:bookmarkStart w:id="22" w:name="sub_18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     Х    Х     Х  -  Х     Х     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│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Д-дверь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└─────┼────┼─────┼─────┼─────┼─────┼────────────────────────────────────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│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Назначение двери:  В-внутренняя;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│    │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Н-наружная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└────┼─────┼─────┼─────┼─────┼────────────────────────────────────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двери:  Г  -  глухая;  О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│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остекленная; К - качающаяся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└─────┼─────┼─────┼─────┼────────────────────────────────────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│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проема по высоте,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└─────┼─────┼─────┼────────────────────────────────────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проема по ширине,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└─────┼─────┼────────────────────────────────────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-   левая   (правая   -  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обозначения);   П   -   дверь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порогом; Буквы  обозначают: Р1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Р2 - типы обшивки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└─────┼────────────────────────────────────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настоящего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└────────────────────────────────────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двери внутренней, глухой, для проема высотой 19 и шириной 9 дм, с правой навеской полотна, с порогом: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ДВГ 19-9 П ГОСТ 14624-84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с левой навеской полотна: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ДВГ 19-9 ЛП ГОСТ 14624-84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наружной, остекленной для проема высотой 21 и шириной 9 дм, с левой навеской полотна, с порогом: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ДНО 21-9 ЛП ГОСТ 14624-84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двери наружной, с качающимися полотнами для проема высотой 21 и шириной 15 дм и типом обшивки Р1: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ДНК 21-15 P1 ГОСТ 14624-84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2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2. Требования к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2"/>
      <w:bookmarkStart w:id="25" w:name="sub_2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"/>
      <w:bookmarkEnd w:id="26"/>
      <w:r>
        <w:rPr>
          <w:rFonts w:cs="Arial" w:ascii="Arial" w:hAnsi="Arial"/>
          <w:sz w:val="20"/>
          <w:szCs w:val="20"/>
        </w:rPr>
        <w:t>2.1. Двери должны изготовлять в соответствии с требованиями ГОСТ 475-78 и настоящего стандарта по рабочим чертежам,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"/>
      <w:bookmarkStart w:id="28" w:name="sub_22"/>
      <w:bookmarkEnd w:id="27"/>
      <w:bookmarkEnd w:id="28"/>
      <w:r>
        <w:rPr>
          <w:rFonts w:cs="Arial" w:ascii="Arial" w:hAnsi="Arial"/>
          <w:sz w:val="20"/>
          <w:szCs w:val="20"/>
        </w:rPr>
        <w:t>2.2. Сплошное и мелкопустотное заполнение щитов полотен выполняют в соответствии с требованиями и схемами, указанными в ГОСТ 6629-88.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2"/>
      <w:bookmarkEnd w:id="29"/>
      <w:r>
        <w:rPr>
          <w:rFonts w:cs="Arial" w:ascii="Arial" w:hAnsi="Arial"/>
          <w:sz w:val="20"/>
          <w:szCs w:val="20"/>
        </w:rPr>
        <w:t>Рамочные конструкции остекленных полотен выполняют по ГОСТ 24698-81.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3"/>
      <w:bookmarkEnd w:id="30"/>
      <w:r>
        <w:rPr>
          <w:rFonts w:cs="Arial" w:ascii="Arial" w:hAnsi="Arial"/>
          <w:sz w:val="20"/>
          <w:szCs w:val="20"/>
        </w:rPr>
        <w:t>2.3. При повышенных требованиях к прочности должны изготовлять глухие распашные двери со сплошным заполнением щитов деревянными рейками, а при повышенных требованиях к тепло- и звукоизоляции дополнительно следует уплотнять притворы прокладками по ГОСТ 10174-72 или из пористой резины по ГОСТ 7338-77.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3"/>
      <w:bookmarkStart w:id="32" w:name="sub_23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" w:name="sub_253148228"/>
      <w:bookmarkEnd w:id="33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10174-72 постановлением Госстроя СССР от 27 июля 1990 г. N 65 утвержден и введен в действие с 1 января 1991 г. ГОСТ 10174-90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" w:name="sub_253148228"/>
      <w:bookmarkStart w:id="35" w:name="sub_253148228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4"/>
      <w:bookmarkEnd w:id="36"/>
      <w:r>
        <w:rPr>
          <w:rFonts w:cs="Arial" w:ascii="Arial" w:hAnsi="Arial"/>
          <w:sz w:val="20"/>
          <w:szCs w:val="20"/>
        </w:rPr>
        <w:t>2.4. Наружные двери облицовывают древесноволокнистой плитой марки СТ-500 по ГОСТ 4598-86.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4"/>
      <w:bookmarkEnd w:id="37"/>
      <w:r>
        <w:rPr>
          <w:rFonts w:cs="Arial" w:ascii="Arial" w:hAnsi="Arial"/>
          <w:sz w:val="20"/>
          <w:szCs w:val="20"/>
        </w:rPr>
        <w:t>Допускается применять для облицовки щитов наружных дверей древесноволокнистые плиты марки Т-400 по ГОСТ 4598-86 и клееную фанеру, при условии сплошной обшивки полотен профилированными рейками по ГОСТ 8242-88, устанавливаемыми по слою пергамина по ГОСТ 2697-83.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Рейки крепят шурупами по ГОСТ 1144-80 или гвоздями по ГОСТ 4028-63 с антикоррозионным покрытием. Максимальный шаг креплений - 500 мм. Крепления в каждом ряду должны располагать на одном уровне по всей ширине полотна.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5"/>
      <w:bookmarkEnd w:id="38"/>
      <w:r>
        <w:rPr>
          <w:rFonts w:cs="Arial" w:ascii="Arial" w:hAnsi="Arial"/>
          <w:sz w:val="20"/>
          <w:szCs w:val="20"/>
        </w:rPr>
        <w:t>2.5. Нижние части полотен наружных дверей должны быть защищены деревянными планками толщиной 1,3-2,5 см по ГОСТ 9590-76, или из сверхтвердых древесноволокнистых плит толщиной 3,2-4 мм по ГОСТ 4598-86, тонколистовой оцинкованной стали или алюминия.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5"/>
      <w:bookmarkEnd w:id="39"/>
      <w:r>
        <w:rPr>
          <w:rFonts w:cs="Arial" w:ascii="Arial" w:hAnsi="Arial"/>
          <w:sz w:val="20"/>
          <w:szCs w:val="20"/>
        </w:rPr>
        <w:t>Защитные накладки устанавливают на водостойких клеях и на шурупах с головками, имеющими антикоррозионное покрытие, с шагом не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6"/>
      <w:bookmarkEnd w:id="40"/>
      <w:r>
        <w:rPr>
          <w:rFonts w:cs="Arial" w:ascii="Arial" w:hAnsi="Arial"/>
          <w:sz w:val="20"/>
          <w:szCs w:val="20"/>
        </w:rPr>
        <w:t>2.6. Коробку без порога расшивают внизу монтажной доской с креплением гвоздями к торцам вертикальных брусков. Допускается шиповое соединение монтажной доски с брусками коробки с просветом между доской и полотном не более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6"/>
      <w:bookmarkStart w:id="42" w:name="sub_27"/>
      <w:bookmarkEnd w:id="41"/>
      <w:bookmarkEnd w:id="42"/>
      <w:r>
        <w:rPr>
          <w:rFonts w:cs="Arial" w:ascii="Arial" w:hAnsi="Arial"/>
          <w:sz w:val="20"/>
          <w:szCs w:val="20"/>
        </w:rPr>
        <w:t>2.7. В коробках наружных дверей пороги следует укреплять стальной полосой 14Х4 мм на шурупах, имеющих антикоррозионное покрытие и устанавливаемых с шагом не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7"/>
      <w:bookmarkStart w:id="44" w:name="sub_28"/>
      <w:bookmarkEnd w:id="43"/>
      <w:bookmarkEnd w:id="44"/>
      <w:r>
        <w:rPr>
          <w:rFonts w:cs="Arial" w:ascii="Arial" w:hAnsi="Arial"/>
          <w:sz w:val="20"/>
          <w:szCs w:val="20"/>
        </w:rPr>
        <w:t>2.8. Площадь дверных блоков определяют по наружным размерам коробок без учета монтажной доски.</w:t>
      </w:r>
    </w:p>
    <w:p>
      <w:pPr>
        <w:pStyle w:val="Normal"/>
        <w:autoSpaceDE w:val="false"/>
        <w:ind w:firstLine="720"/>
        <w:jc w:val="both"/>
        <w:rPr/>
      </w:pPr>
      <w:bookmarkStart w:id="45" w:name="sub_28"/>
      <w:bookmarkStart w:id="46" w:name="sub_29"/>
      <w:bookmarkEnd w:id="45"/>
      <w:bookmarkEnd w:id="46"/>
      <w:r>
        <w:rPr>
          <w:rFonts w:cs="Arial" w:ascii="Arial" w:hAnsi="Arial"/>
          <w:sz w:val="20"/>
          <w:szCs w:val="20"/>
        </w:rPr>
        <w:t xml:space="preserve">2.9. Расположение приборов и примеры установки защитных ограждений приведены в обязательном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29"/>
      <w:bookmarkStart w:id="48" w:name="sub_29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100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100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11963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"Размеры дверных проемов в стенах"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20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20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74382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"Расположение приборов"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4960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"Приемы установки защитных ограждений для наружных дверей"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2007-02-05T18:47:00Z</dcterms:created>
  <dc:creator>Виктор</dc:creator>
  <dc:description/>
  <dc:language>ru-RU</dc:language>
  <cp:lastModifiedBy>Виктор</cp:lastModifiedBy>
  <dcterms:modified xsi:type="dcterms:W3CDTF">2007-02-05T18:47:00Z</dcterms:modified>
  <cp:revision>2</cp:revision>
  <dc:subject/>
  <dc:title/>
</cp:coreProperties>
</file>