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13846-89 (СТ СЭВ 4354-83)</w:t>
        <w:br/>
        <w:t>"Арматура фонтанная и нагнетательная. Типовые схемы, основные параметры и технические требования к конструкции"</w:t>
        <w:br/>
        <w:t>(утв. постановлением Госстандарта СССР от 24 февраля 1989 г. N 332)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Gush and injection well equipment. Standard schemes, basic parameters and technical requirements for construction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13846-84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действия с 1 января 1990 г. до 1 января 1995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181271480"/>
      <w:bookmarkEnd w:id="0"/>
      <w:r>
        <w:rPr>
          <w:rFonts w:cs="Arial" w:ascii="Arial" w:hAnsi="Arial"/>
          <w:i/>
          <w:iCs/>
          <w:sz w:val="20"/>
          <w:szCs w:val="20"/>
        </w:rPr>
        <w:t>По информации, приведенной в Указателе "Государственные стандарты", настоящий ГОСТ является действующим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181271480"/>
      <w:bookmarkStart w:id="2" w:name="sub_181271480"/>
      <w:bookmarkEnd w:id="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устьевую фонтанную и нагнетательную арматуру, состоящую из устьевой елки и трубной обвязки, независимо от области применения по климатическому району и рабочей среде.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не распространяется на устьевую арматуру с параллельным подвешиванием скважинных трубопроводов; для добычи или нагнетания теплоносителя, а также устанавливаемую на скважины с подводным расположением устья.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sz w:val="20"/>
          <w:szCs w:val="20"/>
        </w:rPr>
        <w:t>1. Типовые схемы и основные параметры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sz w:val="20"/>
          <w:szCs w:val="20"/>
        </w:rPr>
        <w:t xml:space="preserve">1.1. Типовые схемы фонтанных елок должны соответствовать приведенным на </w:t>
      </w:r>
      <w:hyperlink w:anchor="sub_666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1</w:t>
        </w:r>
      </w:hyperlink>
      <w:r>
        <w:rPr>
          <w:rFonts w:cs="Arial" w:ascii="Arial" w:hAnsi="Arial"/>
          <w:sz w:val="20"/>
          <w:szCs w:val="20"/>
        </w:rPr>
        <w:t xml:space="preserve">, нагнетательных елок - на </w:t>
      </w:r>
      <w:hyperlink w:anchor="sub_6662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2.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1"/>
      <w:bookmarkStart w:id="8" w:name="sub_12"/>
      <w:bookmarkEnd w:id="7"/>
      <w:bookmarkEnd w:id="8"/>
      <w:r>
        <w:rPr>
          <w:rFonts w:cs="Arial" w:ascii="Arial" w:hAnsi="Arial"/>
          <w:sz w:val="20"/>
          <w:szCs w:val="20"/>
        </w:rPr>
        <w:t xml:space="preserve">1.2. Типовые схемы трубных обвязок фонтанных и нагнетательных арматур должны соответствовать приведенным на </w:t>
      </w:r>
      <w:hyperlink w:anchor="sub_6663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Start w:id="10" w:name="sub_13"/>
      <w:bookmarkEnd w:id="9"/>
      <w:bookmarkEnd w:id="10"/>
      <w:r>
        <w:rPr>
          <w:rFonts w:cs="Arial" w:ascii="Arial" w:hAnsi="Arial"/>
          <w:sz w:val="20"/>
          <w:szCs w:val="20"/>
        </w:rPr>
        <w:t>1.3. Типовые схемы устьевых арматур должны составляться сочетанием типовых схем устьевых елок с трубными обвязками.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3"/>
      <w:bookmarkEnd w:id="1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61280" cy="55721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" w:name="sub_6661"/>
      <w:bookmarkEnd w:id="12"/>
      <w:r>
        <w:rPr>
          <w:rFonts w:cs="Arial" w:ascii="Arial" w:hAnsi="Arial"/>
          <w:sz w:val="20"/>
          <w:szCs w:val="20"/>
        </w:rPr>
        <w:t>"Чертеж 1. Типовые схемы фонтанных елок"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" w:name="sub_6661"/>
      <w:bookmarkEnd w:id="1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389880" cy="55721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" w:name="sub_6662"/>
      <w:bookmarkEnd w:id="14"/>
      <w:r>
        <w:rPr>
          <w:rFonts w:cs="Arial" w:ascii="Arial" w:hAnsi="Arial"/>
          <w:sz w:val="20"/>
          <w:szCs w:val="20"/>
        </w:rPr>
        <w:t>"Чертеж 2. Типовые схемы нагнетательных елок"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" w:name="sub_6662"/>
      <w:bookmarkEnd w:id="1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650230" cy="557212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" w:name="sub_6663"/>
      <w:bookmarkEnd w:id="16"/>
      <w:r>
        <w:rPr>
          <w:rFonts w:cs="Arial" w:ascii="Arial" w:hAnsi="Arial"/>
          <w:sz w:val="20"/>
          <w:szCs w:val="20"/>
        </w:rPr>
        <w:t>"Чертеж 3. Типовые схемы трубных обвязок фонтанных арматур"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6663"/>
      <w:bookmarkStart w:id="18" w:name="sub_6663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Примеры типовых схем фонтанных арматур приведены на </w:t>
      </w:r>
      <w:hyperlink w:anchor="sub_6664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черт.4</w:t>
        </w:r>
      </w:hyperlink>
      <w:r>
        <w:rPr>
          <w:rFonts w:cs="Arial" w:ascii="Arial" w:hAnsi="Arial"/>
          <w:sz w:val="20"/>
          <w:szCs w:val="20"/>
        </w:rPr>
        <w:t xml:space="preserve">, нагнетальных арматур - на </w:t>
      </w:r>
      <w:hyperlink w:anchor="sub_6665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черт.5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168515" cy="557212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51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" w:name="sub_6664"/>
      <w:bookmarkEnd w:id="19"/>
      <w:r>
        <w:rPr>
          <w:rFonts w:cs="Arial" w:ascii="Arial" w:hAnsi="Arial"/>
          <w:sz w:val="20"/>
          <w:szCs w:val="20"/>
        </w:rPr>
        <w:t>"Чертеж 4. Пример типовой схемы фонтанной арматуры"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0" w:name="sub_6664"/>
      <w:bookmarkEnd w:id="2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616825" cy="557212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1" w:name="sub_6665"/>
      <w:bookmarkEnd w:id="21"/>
      <w:r>
        <w:rPr>
          <w:rFonts w:cs="Arial" w:ascii="Arial" w:hAnsi="Arial"/>
          <w:sz w:val="20"/>
          <w:szCs w:val="20"/>
        </w:rPr>
        <w:t>"Чертеж 5. Пример типовой схемы нагнетательной арматуры"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6665"/>
      <w:bookmarkStart w:id="23" w:name="sub_6665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4"/>
      <w:bookmarkEnd w:id="24"/>
      <w:r>
        <w:rPr>
          <w:rFonts w:cs="Arial" w:ascii="Arial" w:hAnsi="Arial"/>
          <w:sz w:val="20"/>
          <w:szCs w:val="20"/>
        </w:rPr>
        <w:t xml:space="preserve">1.4. Основные параметры фонтанных арматур должны соответствовать указанным в </w:t>
      </w:r>
      <w:hyperlink w:anchor="sub_777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1.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4"/>
      <w:bookmarkStart w:id="26" w:name="sub_14"/>
      <w:bookmarkEnd w:id="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" w:name="sub_7771"/>
      <w:bookmarkEnd w:id="27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7771"/>
      <w:bookmarkStart w:id="29" w:name="sub_7771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проход, мм            │          Рабочее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давление, МПа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├───────────┬────────────┬──────────────────┤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ствола   │  боковых   │ боковых отводов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елки    │отводов елки│ трубной головки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   50     │        50        │    14, 21, 35, 70, 105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  │   50, 65   │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│ 50, 65, 80 │      50, 65      │ 14, 21, 35, 70, 105, 140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├───────────┼────────────┤                  ├───────────────────────────┤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│65, 80, 100 │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├───────────┼────────────┤                  ├───────────────────────────┤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│    100     │                  │            21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└───────────┴────────────┴──────────────────┴───────────────────────────┘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5"/>
      <w:bookmarkEnd w:id="30"/>
      <w:r>
        <w:rPr>
          <w:rFonts w:cs="Arial" w:ascii="Arial" w:hAnsi="Arial"/>
          <w:sz w:val="20"/>
          <w:szCs w:val="20"/>
        </w:rPr>
        <w:t xml:space="preserve">1.5. Основные параметры нагнетательных арматур должны соответствовать указанным в </w:t>
      </w:r>
      <w:hyperlink w:anchor="sub_777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5"/>
      <w:bookmarkStart w:id="32" w:name="sub_15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7772"/>
      <w:bookmarkEnd w:id="33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7772"/>
      <w:bookmarkStart w:id="35" w:name="sub_7772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проход, мм            │   Рабочее давление, МПа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├───────────┬────────────┬─────────────────┼────────────────────────────┤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ствола   │  боковых   │     боковых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елки   │  отводов   │ отводов трубной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елки    │     головки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   50     │       50        │         14, 21, 35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  │   50, 65   │     50, 65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├───────────┼────────────┤                 ├────────────────────────────┤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│   65, 80   │                 │           21, 35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└───────────┴────────────┴─────────────────┴────────────────────────────┘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6" w:name="sub_16"/>
      <w:bookmarkEnd w:id="36"/>
      <w:r>
        <w:rPr>
          <w:rFonts w:cs="Arial" w:ascii="Arial" w:hAnsi="Arial"/>
          <w:sz w:val="20"/>
          <w:szCs w:val="20"/>
        </w:rPr>
        <w:t xml:space="preserve">1.6. Условные обозначения устьевых елок и арматур должны состоять из наименования, шифра, построенного по схеме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1</w:t>
        </w:r>
      </w:hyperlink>
      <w:r>
        <w:rPr>
          <w:rFonts w:cs="Arial" w:ascii="Arial" w:hAnsi="Arial"/>
          <w:sz w:val="20"/>
          <w:szCs w:val="20"/>
        </w:rPr>
        <w:t>, и обозначения нормативно-технического документа на поставку.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6"/>
      <w:bookmarkEnd w:id="37"/>
      <w:r>
        <w:rPr>
          <w:rFonts w:cs="Arial" w:ascii="Arial" w:hAnsi="Arial"/>
          <w:sz w:val="20"/>
          <w:szCs w:val="20"/>
        </w:rPr>
        <w:t>Примеры условных обозначений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Фонтанной арматуры с подвешиванием скважинного трубопровода в трубной головке, с фонтанной елкой по типовой схеме 6, с автоматическим управлением, с условным проходом ствола 80 мм и боковых отводов 65 мм, на рабочее давление 70 МПа: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Арматура фонтанная АФ6А-80/65Х70 ГОСТ 13846-89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Елки с подвешиванием скважинного трубопровода в переводнике к трубной головке (катушке - трубодержателе), выполненной по типовой схеме 2, с ручным управлением, с условным проходом ствола 65 мм, боковых отводов 50 мм, на рабочее давление 35 МПа, коррозионностойкого исполнения К2: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Елка фонтанная ЕФК2-65/50Х35К2 ГОСТ 13846-89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Нагнетательной арматуры с подвешиванием скважинного трубопровода в переводнике к трубной головке, выполненной по типовой схеме 1, с ручным управлением, с условным проходом ствола и боковых отводов 65 мм, на рабочее давление 21 МПа: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Арматура нагнетательная АНК1-65x21 ГОСТ 13846-89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То же, с двумя трубными головками по </w:t>
      </w:r>
      <w:hyperlink w:anchor="sub_6664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4б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Арматура нагнетательная AHK1a-65x21 ГОСТ 13846-89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Нагнетательной елки с теми же параметрами и назначением: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Елка нагнетательная ЕНК1-65x21 ГОСТ 13846-89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8" w:name="sub_200"/>
      <w:bookmarkEnd w:id="38"/>
      <w:r>
        <w:rPr>
          <w:rFonts w:cs="Arial" w:ascii="Arial" w:hAnsi="Arial"/>
          <w:b/>
          <w:bCs/>
          <w:sz w:val="20"/>
          <w:szCs w:val="20"/>
        </w:rPr>
        <w:t>2. Технические требования к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9" w:name="sub_200"/>
      <w:bookmarkStart w:id="40" w:name="sub_200"/>
      <w:bookmarkEnd w:id="4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1"/>
      <w:bookmarkEnd w:id="41"/>
      <w:r>
        <w:rPr>
          <w:rFonts w:cs="Arial" w:ascii="Arial" w:hAnsi="Arial"/>
          <w:sz w:val="20"/>
          <w:szCs w:val="20"/>
        </w:rPr>
        <w:t xml:space="preserve">2.1. Условные проходы присоединительных фланцев устьевых арматур приведены в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2.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1"/>
      <w:bookmarkStart w:id="43" w:name="sub_22"/>
      <w:bookmarkEnd w:id="42"/>
      <w:bookmarkEnd w:id="43"/>
      <w:r>
        <w:rPr>
          <w:rFonts w:cs="Arial" w:ascii="Arial" w:hAnsi="Arial"/>
          <w:sz w:val="20"/>
          <w:szCs w:val="20"/>
        </w:rPr>
        <w:t>2.2. Конструкция устьевой арматуры должна обеспечивать полную герметичность по отношению к окружающей среде.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2"/>
      <w:bookmarkStart w:id="45" w:name="sub_23"/>
      <w:bookmarkEnd w:id="44"/>
      <w:bookmarkEnd w:id="45"/>
      <w:r>
        <w:rPr>
          <w:rFonts w:cs="Arial" w:ascii="Arial" w:hAnsi="Arial"/>
          <w:sz w:val="20"/>
          <w:szCs w:val="20"/>
        </w:rPr>
        <w:t xml:space="preserve">2.3. Конструкция корпусных деталей устьевой арматуры должна обеспечивать возможность их опрессовки пробным давлением, приведенным в </w:t>
      </w:r>
      <w:hyperlink w:anchor="sub_777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23"/>
      <w:bookmarkStart w:id="47" w:name="sub_23"/>
      <w:bookmarkEnd w:id="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8" w:name="sub_7773"/>
      <w:bookmarkEnd w:id="48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7773"/>
      <w:bookmarkStart w:id="50" w:name="sub_7773"/>
      <w:bookmarkEnd w:id="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┌─────────────────────┬───────┬───────┬───────┬────────┬────────┬───────┐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давление Р_р,│  14   │  21   │  35   │   70   │  105   │  140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                │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├─────────────────────┼───────┴───────┴───────┼────────┴────────┴───────┤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Пробное              │         2 P_р         │         1,5 Р_р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Р_пр, МПа   │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4"/>
      <w:bookmarkEnd w:id="51"/>
      <w:r>
        <w:rPr>
          <w:rFonts w:cs="Arial" w:ascii="Arial" w:hAnsi="Arial"/>
          <w:sz w:val="20"/>
          <w:szCs w:val="20"/>
        </w:rPr>
        <w:t>2.4. Соосность отверстий составных частей устьевой арматуры, образующих стволовый проход, должна обеспечивать беспрепятственное прохождение оборудования, приборов и приспособлений, спускаемых в скважину.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4"/>
      <w:bookmarkStart w:id="53" w:name="sub_25"/>
      <w:bookmarkEnd w:id="52"/>
      <w:bookmarkEnd w:id="53"/>
      <w:r>
        <w:rPr>
          <w:rFonts w:cs="Arial" w:ascii="Arial" w:hAnsi="Arial"/>
          <w:sz w:val="20"/>
          <w:szCs w:val="20"/>
        </w:rPr>
        <w:t>2.5. Конструкция трубной обвязки должна обеспечивать возможность подвешивания скважинных трубопроводов в корпусе трубной головки, контроля давления и управления потоком скважинной среды в затрубном (межтрубном) пространстве.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5"/>
      <w:bookmarkEnd w:id="54"/>
      <w:r>
        <w:rPr>
          <w:rFonts w:cs="Arial" w:ascii="Arial" w:hAnsi="Arial"/>
          <w:sz w:val="20"/>
          <w:szCs w:val="20"/>
        </w:rPr>
        <w:t>Допускается подвешивать скважинный трубопровод в переводнике к трубной головке.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6"/>
      <w:bookmarkEnd w:id="55"/>
      <w:r>
        <w:rPr>
          <w:rFonts w:cs="Arial" w:ascii="Arial" w:hAnsi="Arial"/>
          <w:sz w:val="20"/>
          <w:szCs w:val="20"/>
        </w:rPr>
        <w:t>2.6. Дроссель в фонтанной арматуре должен быть регулируемым.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26"/>
      <w:bookmarkEnd w:id="56"/>
      <w:r>
        <w:rPr>
          <w:rFonts w:cs="Arial" w:ascii="Arial" w:hAnsi="Arial"/>
          <w:sz w:val="20"/>
          <w:szCs w:val="20"/>
        </w:rPr>
        <w:t>Допускается применять по требованию потребителя нерегулируемые дроссели.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7"/>
      <w:bookmarkEnd w:id="57"/>
      <w:r>
        <w:rPr>
          <w:rFonts w:cs="Arial" w:ascii="Arial" w:hAnsi="Arial"/>
          <w:sz w:val="20"/>
          <w:szCs w:val="20"/>
        </w:rPr>
        <w:t>2.7. Допускается конструктивно объединять, не изменяя типовой схемы, устьевой арматуры, несколько составных частей в один блок.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7"/>
      <w:bookmarkStart w:id="59" w:name="sub_28"/>
      <w:bookmarkEnd w:id="58"/>
      <w:bookmarkEnd w:id="59"/>
      <w:r>
        <w:rPr>
          <w:rFonts w:cs="Arial" w:ascii="Arial" w:hAnsi="Arial"/>
          <w:sz w:val="20"/>
          <w:szCs w:val="20"/>
        </w:rPr>
        <w:t>2.8. Допускается дооборудовать фонтанные арматуры запорными устройствами и обратным клапаном, а елки - дросселем.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8"/>
      <w:bookmarkStart w:id="61" w:name="sub_29"/>
      <w:bookmarkEnd w:id="60"/>
      <w:bookmarkEnd w:id="61"/>
      <w:r>
        <w:rPr>
          <w:rFonts w:cs="Arial" w:ascii="Arial" w:hAnsi="Arial"/>
          <w:sz w:val="20"/>
          <w:szCs w:val="20"/>
        </w:rPr>
        <w:t>2.9. По требованию потребителя конструкция устьевой арматуры должна обеспечивать возможность: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9"/>
      <w:bookmarkEnd w:id="62"/>
      <w:r>
        <w:rPr>
          <w:rFonts w:cs="Arial" w:ascii="Arial" w:hAnsi="Arial"/>
          <w:sz w:val="20"/>
          <w:szCs w:val="20"/>
        </w:rPr>
        <w:t>монтажа елки при избыточном давлении среды в скважинном трубопроводе;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нагнетания ингибиторов коррозии и гидратообразования в скважинный трубопровод и затрубное пространство в фонтанных скважинах;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измерения давления и температуры скважинной среды в боковых отводах фонтанной 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10"/>
      <w:bookmarkEnd w:id="63"/>
      <w:r>
        <w:rPr>
          <w:rFonts w:cs="Arial" w:ascii="Arial" w:hAnsi="Arial"/>
          <w:sz w:val="20"/>
          <w:szCs w:val="20"/>
        </w:rPr>
        <w:t>2.10. По требованию потребителя в фонтанную арматуру следует включать: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10"/>
      <w:bookmarkEnd w:id="64"/>
      <w:r>
        <w:rPr>
          <w:rFonts w:cs="Arial" w:ascii="Arial" w:hAnsi="Arial"/>
          <w:sz w:val="20"/>
          <w:szCs w:val="20"/>
        </w:rPr>
        <w:t>автоматические предохранительные устройства;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запорные устройства с дистанционным управлением;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устройства, обеспечивающие возможность соединения скважинного оборудования с наземной системой управления;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быстросборное соединение для периодически устанавливаемого устьевого оборудования (приспособлений).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Схема фонтанной арматуры с системой управления приведена в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101"/>
      <w:bookmarkEnd w:id="65"/>
      <w:r>
        <w:rPr>
          <w:rFonts w:cs="Arial" w:ascii="Arial" w:hAnsi="Arial"/>
          <w:sz w:val="20"/>
          <w:szCs w:val="20"/>
        </w:rPr>
        <w:t>2.10.1. Пневмопилоты (автоматические предохранительные устройства) должны обеспечивать перекрытие скважинной среды при регламентированном его отклонении от заданного режима эксплуатации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2101"/>
      <w:bookmarkStart w:id="67" w:name="sub_2102"/>
      <w:bookmarkEnd w:id="66"/>
      <w:bookmarkEnd w:id="67"/>
      <w:r>
        <w:rPr>
          <w:rFonts w:cs="Arial" w:ascii="Arial" w:hAnsi="Arial"/>
          <w:sz w:val="20"/>
          <w:szCs w:val="20"/>
        </w:rPr>
        <w:t>2.10.2. Конструкция запорных устройств с дистанционным управлением должна предусматривать возможность ручного управления ими.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2102"/>
      <w:bookmarkStart w:id="69" w:name="sub_2102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0" w:name="sub_1000"/>
      <w:bookmarkEnd w:id="70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1" w:name="sub_1000"/>
      <w:bookmarkEnd w:id="71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Структурная схема шифров устьевых арматур и елок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    Х    Х    Х    Х /Х х    Х    Х    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─┬─  ─┬─  ─┬─  ─┬─  ─┬ ─┬──   ─┬─  ─┬─  ─┬─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изделия (АФ - арматура фонтанная,  ЕФ     │    │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- елка фонтанная, АН -  арматура  нагнетательная,     │    │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ЕН - елка нагнетательная                              │    │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──────────────────────────────────────────────────────┘    │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│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 способа   подвешивания   скважинного          │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(в трубной головке не  обозначается,          │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 переводнике к трубной головке - к)                       │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───────────────────────────────────────────────────────────┘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типовой схемы елки (</w:t>
      </w:r>
      <w:hyperlink w:anchor="sub_666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черт. 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666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Для           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арматур по </w:t>
      </w:r>
      <w:hyperlink w:anchor="sub_666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черт. 4б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</w:t>
      </w:r>
      <w:hyperlink w:anchor="sub_666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к номеру схемы добавляют           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                                        │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────────────────────────────────────────────────────────────────┘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   системы    управления    запорными                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устройствами    (с    ручным       управлением не                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обозначается,   с   дистанционным    -    Д,    с                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автоматическим   -   А,   с       дистанционным и                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автоматическим - В)                                                  │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─────────────────────────────────────────────────────────────────────┘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проход ствола елки, мм                                           │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──────────────────────────────────────────────────────────────────────────┘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проход боковых  отводов  елки,  мм  (при                          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совпадении  с   условным   проходом     ствола не                          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указывается)                                                                 │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─────────────────────────────────────────────────────────────────────────────┘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Рабочее давление, МПа                                                         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────────────────────────────────────────────────────────────────────────────────────┘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Исполнение  изделия  в  зависимости  от   условий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применения (скважинной среды)  в   соответствии с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4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приложением 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─────────────────────────────────────────────────────────────────────────────────────────┘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  модификации,   модернизации    (при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необходимости)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2" w:name="sub_2000"/>
      <w:bookmarkEnd w:id="72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3" w:name="sub_2000"/>
      <w:bookmarkEnd w:id="73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Условные проходы присоединительных фланцев фонтанной и нагнетательной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 │ Рабочее давление, МПа │        Условный проход, мм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  │                       ├──────────────────┬────────────────┤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ствола, мм │                       │ верхнего фланца  │ нижнего фланца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трубной головки  │трубной головки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├───────────┼───────────────────────┼──────────────────┼────────────────┤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50, 65, 80 │          14           │       180        │   180</w:t>
      </w:r>
      <w:hyperlink w:anchor="sub_11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280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├───────────────────────┤                  ├────────────────┤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 35         │                  │      280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├───────────┼───────────────────────┤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50, 65   │        70, 105        │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├───────────┼───────────────────────┤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│     70, 105, 140      │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├───────────┼───────────────────────┼──────────────────┤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14, 21, 35, 70, 105,  │       230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1140          │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├───────────┼───────────────────────┼──────────────────┼────────────────┤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│          21           │       280        │      350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└───────────┴───────────────────────┴──────────────────┴────────────────┘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1111"/>
      <w:bookmarkEnd w:id="74"/>
      <w:r>
        <w:rPr>
          <w:rFonts w:cs="Arial" w:ascii="Arial" w:hAnsi="Arial"/>
          <w:sz w:val="20"/>
          <w:szCs w:val="20"/>
        </w:rPr>
        <w:t>* Менее предпочтительный уставный проход.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1111"/>
      <w:bookmarkStart w:id="76" w:name="sub_1111"/>
      <w:bookmarkEnd w:id="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7" w:name="sub_3000"/>
      <w:bookmarkEnd w:id="77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8" w:name="sub_3000"/>
      <w:bookmarkEnd w:id="78"/>
      <w:r>
        <w:rPr>
          <w:rFonts w:cs="Arial" w:ascii="Arial" w:hAnsi="Arial"/>
          <w:b/>
          <w:bCs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Пример типовой схемы фонтанной арматуры с системой управления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8699500" cy="5550535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555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"Пример типовой схемы фонтанной арматуры с системой управления"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схеме не приведены датчики давления, температуры, загазованности и др.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9" w:name="sub_4000"/>
      <w:bookmarkEnd w:id="79"/>
      <w:r>
        <w:rPr>
          <w:rFonts w:cs="Arial" w:ascii="Arial" w:hAnsi="Arial"/>
          <w:b/>
          <w:bCs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0" w:name="sub_4000"/>
      <w:bookmarkEnd w:id="80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Обозначение коррозионно-стойкого исполнения арматур и елок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исполнения       │ Скважинная среда - нефть и газ с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объемным содержанием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К1                 │СО2 до 6%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К2                 │СО2 и H2S до 6%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КЗ                 │СО2 и H2S до 25%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2006-07-27T20:11:00Z</dcterms:created>
  <dc:creator>Виктор</dc:creator>
  <dc:description/>
  <dc:language>ru-RU</dc:language>
  <cp:lastModifiedBy>Виктор</cp:lastModifiedBy>
  <dcterms:modified xsi:type="dcterms:W3CDTF">2007-04-07T18:01:00Z</dcterms:modified>
  <cp:revision>3</cp:revision>
  <dc:subject/>
  <dc:title/>
</cp:coreProperties>
</file>