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125-79</w:t>
        <w:br/>
        <w:t>(СТ СЭВ 826-77)</w:t>
        <w:br/>
        <w:t>"Вяжущие гипсовые. Технические условия"</w:t>
        <w:br/>
        <w:t>(введен постановлением Госстроя СССР от 19 июля 1979 г. N 123)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Gypsum binders. 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установлен с 1 июля 1980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0" w:name="sub_297493172"/>
      <w:bookmarkEnd w:id="0"/>
      <w:r>
        <w:rPr>
          <w:rFonts w:cs="Arial" w:ascii="Arial" w:hAnsi="Arial"/>
          <w:i/>
          <w:iCs/>
          <w:sz w:val="20"/>
          <w:szCs w:val="20"/>
        </w:rPr>
        <w:t>Взамен настоящего ГОСТ в части правил приемки, упаковки, маркировки, транспортирования и хранения с 1 июля 1987 г. введен в действие ГОСТ 26871-86 "Материалы вяжущие гипсовые. Правила приемки. Упаковка, маркировка, транспортирование и хранение", утвержденный постановлением Госстроя СССР от 2 апреля 1986 г. N 36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" w:name="sub_297493172"/>
      <w:bookmarkStart w:id="2" w:name="sub_297493172"/>
      <w:bookmarkEnd w:id="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также ГОСТ 23789-79 (СТ СЭВ 826-77 в части методов испытаний) "Вяжущие гипсовые. Методы испытаний", утвержденные постановлением Госстроя СССР от 19 июля 1979 г. N 123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Правила приемки и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Упаковка, маркировка,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Гарантии изготовителя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1. Возможные области применения гипсовых вяжущих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2. Информационные данные о соответствии ГОСТ 125-79  СТ  СЭВ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826-77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гипсовые вяжущие, получаемые путем термической обработки гипсового сырья до полугидрата сульфата кальция и применяемые для изготовления строительных изделий всех видов и при производстве строительных работ, а также для изготовления форм и моделей в фарфоро-фаянсовой, керамической и других отраслях промышленности.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Стандарт соответствует требованиям СТ СЭВ 826-77 в части, указанной в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 к медицинскому гипсу должны быть установлены соответствующим нормативно-техническим документом, разработанным на основе СТ СЭВ 826-77.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1"/>
      <w:bookmarkEnd w:id="3"/>
      <w:r>
        <w:rPr>
          <w:rFonts w:cs="Arial" w:ascii="Arial" w:hAnsi="Arial"/>
          <w:b/>
          <w:bCs/>
          <w:sz w:val="20"/>
          <w:szCs w:val="20"/>
        </w:rPr>
        <w:t>1.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1"/>
      <w:bookmarkStart w:id="5" w:name="sub_1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1"/>
      <w:bookmarkEnd w:id="6"/>
      <w:r>
        <w:rPr>
          <w:rFonts w:cs="Arial" w:ascii="Arial" w:hAnsi="Arial"/>
          <w:sz w:val="20"/>
          <w:szCs w:val="20"/>
        </w:rPr>
        <w:t>1.1. Гипсовые вяжущие должны изготовляться в соответствии с требованиями настоящего стандарта по технологическим регламентам, утвержденным в порядке, установленном министерством-изготовителем.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1"/>
      <w:bookmarkStart w:id="8" w:name="sub_12"/>
      <w:bookmarkEnd w:id="7"/>
      <w:bookmarkEnd w:id="8"/>
      <w:r>
        <w:rPr>
          <w:rFonts w:cs="Arial" w:ascii="Arial" w:hAnsi="Arial"/>
          <w:sz w:val="20"/>
          <w:szCs w:val="20"/>
        </w:rPr>
        <w:t>1.2. Для производства вяжущих применяют гипсовый камень по ГОСТ 4013-82 или фосфогипс по действующей нормативно-технической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2"/>
      <w:bookmarkStart w:id="10" w:name="sub_13"/>
      <w:bookmarkEnd w:id="9"/>
      <w:bookmarkEnd w:id="10"/>
      <w:r>
        <w:rPr>
          <w:rFonts w:cs="Arial" w:ascii="Arial" w:hAnsi="Arial"/>
          <w:sz w:val="20"/>
          <w:szCs w:val="20"/>
        </w:rPr>
        <w:t>1.3. В зависимости от предела прочности на сжатие различают следующие марки гипсовых вяжущих: Г-2, Г-3, Г-4, Г-5, Г-6, Г-7, Г-10, Г-13, Г-16, Г-19, Г-22, Г-25.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3"/>
      <w:bookmarkEnd w:id="11"/>
      <w:r>
        <w:rPr>
          <w:rFonts w:cs="Arial" w:ascii="Arial" w:hAnsi="Arial"/>
          <w:sz w:val="20"/>
          <w:szCs w:val="20"/>
        </w:rPr>
        <w:t>Минимальный предел прочности каждой марки вяжущего должен соответствовать значениям, приведенным в табл.1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" w:name="sub_7771"/>
      <w:bookmarkEnd w:id="12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7771"/>
      <w:bookmarkStart w:id="14" w:name="sub_7771"/>
      <w:bookmarkEnd w:id="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(кгс/см2)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вяжущего    │Предел прочности образцов-балочек размерами 40 x│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x 160 мм в возрасте 2 ч, не менее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├────────────────────────┬───────────────────────┤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сжатии       │      при изгибе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Г-2          │         2(20)          │        1,2(12)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Г-3          │         3(30)          │        1,8(18)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Г-4          │         4(40)          │        2,0(20)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Г-5          │         5(50)          │        2,5(25)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Г-6          │         6(60)          │        3,0(30)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Г-7          │         7(70)          │        3,5(35)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Г-10         │        10(100)         │        4,5(45)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Г-13         │        13(130)         │        5,5(55)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Г-16         │        16(160)         │        6,0(60)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Г-19         │        19(190)         │        6,5(65)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Г-22         │        22(220)         │        7,0(70)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Г-25         │        25(250)         │        8,0(80)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4"/>
      <w:bookmarkEnd w:id="15"/>
      <w:r>
        <w:rPr>
          <w:rFonts w:cs="Arial" w:ascii="Arial" w:hAnsi="Arial"/>
          <w:sz w:val="20"/>
          <w:szCs w:val="20"/>
        </w:rPr>
        <w:t>1.4. В зависимости от сроков схватывания различаются виды вяжущих, приведенные в табл.2.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14"/>
      <w:bookmarkStart w:id="17" w:name="sub_14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" w:name="sub_7772"/>
      <w:bookmarkEnd w:id="18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7772"/>
      <w:bookmarkStart w:id="20" w:name="sub_7772"/>
      <w:bookmarkEnd w:id="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вяжущего        │  Индекс   │    Срок схватывания, мин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сроков   ├──────────┬───────────────────┤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твердения │начало, не│ конец, не позднее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ранее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├────────────────────────────┼───────────┼──────────┼───────────────────┤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Быстротвердеющий            │     А     │    2     │        15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Нормальнотвердеющий         │     Б     │    6     │        30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Медленнотвердеющий          │     В     │    20    │  Не нормируется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└────────────────────────────┴───────────┴──────────┴───────────────────┘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5"/>
      <w:bookmarkEnd w:id="21"/>
      <w:r>
        <w:rPr>
          <w:rFonts w:cs="Arial" w:ascii="Arial" w:hAnsi="Arial"/>
          <w:sz w:val="20"/>
          <w:szCs w:val="20"/>
        </w:rPr>
        <w:t>1.5. Для фарфоро-фаянсовой и керамической промышленности изготавливают вяжущие со сроками схватывания, установленными для нормальнотвердеющего гипса.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5"/>
      <w:bookmarkStart w:id="23" w:name="sub_16"/>
      <w:bookmarkEnd w:id="22"/>
      <w:bookmarkEnd w:id="23"/>
      <w:r>
        <w:rPr>
          <w:rFonts w:cs="Arial" w:ascii="Arial" w:hAnsi="Arial"/>
          <w:sz w:val="20"/>
          <w:szCs w:val="20"/>
        </w:rPr>
        <w:t>1.6. В зависимости от степени помола различают виды вяжущих, приведенные в табл.3.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16"/>
      <w:bookmarkStart w:id="25" w:name="sub_16"/>
      <w:bookmarkEnd w:id="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6" w:name="sub_7773"/>
      <w:bookmarkEnd w:id="26"/>
      <w:r>
        <w:rPr>
          <w:rFonts w:cs="Arial" w:ascii="Arial" w:hAnsi="Arial"/>
          <w:b/>
          <w:bCs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7773"/>
      <w:bookmarkStart w:id="28" w:name="sub_7773"/>
      <w:bookmarkEnd w:id="2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вяжущего     │ Индекс степени помола  │Максимальный остаток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сите с размерами ячеек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свету 0,2 мм, %, не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Грубого помола        │           I            │          23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Среднего помола       │           II           │          14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Тонкого помола        │          III           │           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17"/>
      <w:bookmarkEnd w:id="29"/>
      <w:r>
        <w:rPr>
          <w:rFonts w:cs="Arial" w:ascii="Arial" w:hAnsi="Arial"/>
          <w:sz w:val="20"/>
          <w:szCs w:val="20"/>
        </w:rPr>
        <w:t>1.7. Для фарфоро-фаянсовой и керамической промышленности изготавливают вяжущие тонкого помола с максимальным остатком на сите с ячейками размером в свету 0,2 мм не более 1%.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17"/>
      <w:bookmarkStart w:id="31" w:name="sub_18"/>
      <w:bookmarkEnd w:id="30"/>
      <w:bookmarkEnd w:id="31"/>
      <w:r>
        <w:rPr>
          <w:rFonts w:cs="Arial" w:ascii="Arial" w:hAnsi="Arial"/>
          <w:sz w:val="20"/>
          <w:szCs w:val="20"/>
        </w:rPr>
        <w:t>1.8. Изготовитель должен определять удельную поверхность гипсового вяжущего тонкого помола не менее одного раза в месяц и указывать ее значение в документе установленной формы.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18"/>
      <w:bookmarkStart w:id="33" w:name="sub_19"/>
      <w:bookmarkEnd w:id="32"/>
      <w:bookmarkEnd w:id="33"/>
      <w:r>
        <w:rPr>
          <w:rFonts w:cs="Arial" w:ascii="Arial" w:hAnsi="Arial"/>
          <w:sz w:val="20"/>
          <w:szCs w:val="20"/>
        </w:rPr>
        <w:t>1.9. Вяжущие, применяемые в фарфоро-фаянсовой, керамической и других отраслях промышленности, должны соответствовать дополнительным требованиям, указанным в табл.4.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19"/>
      <w:bookmarkStart w:id="35" w:name="sub_19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" w:name="sub_7774"/>
      <w:bookmarkEnd w:id="36"/>
      <w:r>
        <w:rPr>
          <w:rFonts w:cs="Arial" w:ascii="Arial" w:hAnsi="Arial"/>
          <w:b/>
          <w:bCs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7774"/>
      <w:bookmarkStart w:id="38" w:name="sub_7774"/>
      <w:bookmarkEnd w:id="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│   Вяжущие для    │   Вяжущие для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фарфоро-фаянсовой │ других отраслей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керамической  │ промышленности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Объемное расширение, %, не более  │       0,15       │       0,2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Примеси, не растворимые в  соляной│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кислоте, %, не более              │       1,0        │       1,0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Содержание металлопримесей в 1  кг│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гипса, мг, не более               │        8         │        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Водопоглощение, %, не менее       │        30        │  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110"/>
      <w:bookmarkEnd w:id="39"/>
      <w:r>
        <w:rPr>
          <w:rFonts w:cs="Arial" w:ascii="Arial" w:hAnsi="Arial"/>
          <w:sz w:val="20"/>
          <w:szCs w:val="20"/>
        </w:rPr>
        <w:t>1.10. Вяжущие высшей категории качества должны удовлетворять дополнительным требованиям, указанным в табл.5.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110"/>
      <w:bookmarkStart w:id="41" w:name="sub_110"/>
      <w:bookmarkEnd w:id="4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2" w:name="sub_7775"/>
      <w:bookmarkEnd w:id="42"/>
      <w:r>
        <w:rPr>
          <w:rFonts w:cs="Arial" w:ascii="Arial" w:hAnsi="Arial"/>
          <w:b/>
          <w:bCs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7775"/>
      <w:bookmarkStart w:id="44" w:name="sub_7775"/>
      <w:bookmarkEnd w:id="4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│   Вяжущие для   │   Вяжущие для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изготовления   │фарфоро-фаянсовой│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  │ и керамической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 и    │ промышленности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вяжущего, не ниже            │       Г-5       │      Г-10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Максимальный  остаток  на    сите с│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размером ячеек в свету 0,2  мм,  %,│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более                           │       12        │       0,5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Примеси, не растворимые  в  соляной│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кислоте, %, не более               │        -        │       0,5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условного обозначения гипсового вяжущего прочностью 5,2 МПа (52 кгс/см2) со сроками схватывания: начало - 5 мин, конец - 9 мин и остатком на сите с размером ячеек в свету 0,2 мм 9%, т.е. вяжущего марки Г-5, быстротвердеющего, среднего помола: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Г-5 А II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Возможные области применения гипсовых вяжущих указаны в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5" w:name="sub_2"/>
      <w:bookmarkEnd w:id="45"/>
      <w:r>
        <w:rPr>
          <w:rFonts w:cs="Arial" w:ascii="Arial" w:hAnsi="Arial"/>
          <w:b/>
          <w:bCs/>
          <w:sz w:val="20"/>
          <w:szCs w:val="20"/>
        </w:rPr>
        <w:t>2. Правила приемки и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6" w:name="sub_2"/>
      <w:bookmarkStart w:id="47" w:name="sub_2"/>
      <w:bookmarkEnd w:id="4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21"/>
      <w:bookmarkEnd w:id="48"/>
      <w:r>
        <w:rPr>
          <w:rFonts w:cs="Arial" w:ascii="Arial" w:hAnsi="Arial"/>
          <w:sz w:val="20"/>
          <w:szCs w:val="20"/>
        </w:rPr>
        <w:t>2.1. Поставку и приемку вяжущего производят партиями. Партией считают вяжущее одного вида и одной марки.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21"/>
      <w:bookmarkEnd w:id="49"/>
      <w:r>
        <w:rPr>
          <w:rFonts w:cs="Arial" w:ascii="Arial" w:hAnsi="Arial"/>
          <w:sz w:val="20"/>
          <w:szCs w:val="20"/>
        </w:rPr>
        <w:t>Размер партии устанавливают в зависимости от годовой мощности предприятия в следующем количестве: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до 200 т - при годовой мощности св. 150 тыс.т;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до 65 т - при годовой мощности до 150 тыс.т.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отгрузке вяжущего в судах размер партии устанавливают соглашением сторон.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22"/>
      <w:bookmarkEnd w:id="50"/>
      <w:r>
        <w:rPr>
          <w:rFonts w:cs="Arial" w:ascii="Arial" w:hAnsi="Arial"/>
          <w:sz w:val="20"/>
          <w:szCs w:val="20"/>
        </w:rPr>
        <w:t>2.2. Предприятие-изготовитель должно гарантировать и подтверждать документом установленной формы соответствие свойств вяжущего требованиям настоящего стандарта на основании результатов текущих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22"/>
      <w:bookmarkStart w:id="52" w:name="sub_23"/>
      <w:bookmarkEnd w:id="51"/>
      <w:bookmarkEnd w:id="52"/>
      <w:r>
        <w:rPr>
          <w:rFonts w:cs="Arial" w:ascii="Arial" w:hAnsi="Arial"/>
          <w:sz w:val="20"/>
          <w:szCs w:val="20"/>
        </w:rPr>
        <w:t>2.3. Потребитель имеет право производить контрольную проверку соответствия свойств вяжущего требованиям настоящего стандарта, применяя при этом порядок отбора проб и методы испытаний по ГОСТ 23789-79.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3"/>
      <w:bookmarkEnd w:id="53"/>
      <w:r>
        <w:rPr>
          <w:rFonts w:cs="Arial" w:ascii="Arial" w:hAnsi="Arial"/>
          <w:sz w:val="20"/>
          <w:szCs w:val="20"/>
        </w:rPr>
        <w:t>При обнаружении несоответствия прочности вяжущего на изгиб или сжатие марке, указанной в соответствующем документе, она должна быть изменена в соответствии с фактической прочностью.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24"/>
      <w:bookmarkEnd w:id="54"/>
      <w:r>
        <w:rPr>
          <w:rFonts w:cs="Arial" w:ascii="Arial" w:hAnsi="Arial"/>
          <w:sz w:val="20"/>
          <w:szCs w:val="20"/>
        </w:rPr>
        <w:t>2.4. Отбор проб и методы испытаний вяжущих производят по ГОСТ 23789-79.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24"/>
      <w:bookmarkStart w:id="56" w:name="sub_24"/>
      <w:bookmarkEnd w:id="5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7" w:name="sub_3"/>
      <w:bookmarkEnd w:id="57"/>
      <w:r>
        <w:rPr>
          <w:rFonts w:cs="Arial" w:ascii="Arial" w:hAnsi="Arial"/>
          <w:b/>
          <w:bCs/>
          <w:sz w:val="20"/>
          <w:szCs w:val="20"/>
        </w:rPr>
        <w:t>3. Упаковка, маркировка,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8" w:name="sub_3"/>
      <w:bookmarkStart w:id="59" w:name="sub_3"/>
      <w:bookmarkEnd w:id="5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31"/>
      <w:bookmarkEnd w:id="60"/>
      <w:r>
        <w:rPr>
          <w:rFonts w:cs="Arial" w:ascii="Arial" w:hAnsi="Arial"/>
          <w:sz w:val="20"/>
          <w:szCs w:val="20"/>
        </w:rPr>
        <w:t>3.1. Вяжущие отгружают без упаковки или упакованными в мешки по ГОСТ 2226-88 и другую тару.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31"/>
      <w:bookmarkStart w:id="62" w:name="sub_32"/>
      <w:bookmarkEnd w:id="61"/>
      <w:bookmarkEnd w:id="62"/>
      <w:r>
        <w:rPr>
          <w:rFonts w:cs="Arial" w:ascii="Arial" w:hAnsi="Arial"/>
          <w:sz w:val="20"/>
          <w:szCs w:val="20"/>
        </w:rPr>
        <w:t>3.2. Вяжущие, применяемые для фарфоро-фаянсовой и керамической промышленности, а также для специальных целей, должны отгружаться только упакованными в мешки по ГОСТ 2226-88.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32"/>
      <w:bookmarkStart w:id="64" w:name="sub_33"/>
      <w:bookmarkEnd w:id="63"/>
      <w:bookmarkEnd w:id="64"/>
      <w:r>
        <w:rPr>
          <w:rFonts w:cs="Arial" w:ascii="Arial" w:hAnsi="Arial"/>
          <w:sz w:val="20"/>
          <w:szCs w:val="20"/>
        </w:rPr>
        <w:t>3.3. Предприятие-изготовитель должно сопровождать каждую отгружаемую партию документом установленной формы, в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33"/>
      <w:bookmarkEnd w:id="65"/>
      <w:r>
        <w:rPr>
          <w:rFonts w:cs="Arial" w:ascii="Arial" w:hAnsi="Arial"/>
          <w:sz w:val="20"/>
          <w:szCs w:val="20"/>
        </w:rPr>
        <w:t>- наименование организации, в подчинении которой находится предприятие-изготовитель;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наименование и адрес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номер партии и дату выдачи документа;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массу партии и дату отправки;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наименование и адрес получателя;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обозначение вяжущего по </w:t>
      </w:r>
      <w:hyperlink w:anchor="sub_1">
        <w:r>
          <w:rPr>
            <w:rStyle w:val="Style15"/>
            <w:rFonts w:cs="Arial" w:ascii="Arial" w:hAnsi="Arial"/>
            <w:sz w:val="20"/>
            <w:szCs w:val="20"/>
            <w:u w:val="single"/>
          </w:rPr>
          <w:t>п.1.11</w:t>
        </w:r>
      </w:hyperlink>
      <w:r>
        <w:rPr>
          <w:rFonts w:cs="Arial" w:ascii="Arial" w:hAnsi="Arial"/>
          <w:sz w:val="20"/>
          <w:szCs w:val="20"/>
        </w:rPr>
        <w:t xml:space="preserve"> и результаты физико-механических испытаний;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удельную поверхность для вяжущего тонкого помола;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обозначение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34"/>
      <w:bookmarkEnd w:id="66"/>
      <w:r>
        <w:rPr>
          <w:rFonts w:cs="Arial" w:ascii="Arial" w:hAnsi="Arial"/>
          <w:sz w:val="20"/>
          <w:szCs w:val="20"/>
        </w:rPr>
        <w:t>3.4. При транспортировании и хранении гипсовые вяжущие должны быть защищены от увлажнения и загрязнения.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34"/>
      <w:bookmarkStart w:id="68" w:name="sub_34"/>
      <w:bookmarkEnd w:id="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9" w:name="sub_4"/>
      <w:bookmarkEnd w:id="69"/>
      <w:r>
        <w:rPr>
          <w:rFonts w:cs="Arial" w:ascii="Arial" w:hAnsi="Arial"/>
          <w:b/>
          <w:bCs/>
          <w:sz w:val="20"/>
          <w:szCs w:val="20"/>
        </w:rPr>
        <w:t>4.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0" w:name="sub_4"/>
      <w:bookmarkStart w:id="71" w:name="sub_4"/>
      <w:bookmarkEnd w:id="7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41"/>
      <w:bookmarkEnd w:id="72"/>
      <w:r>
        <w:rPr>
          <w:rFonts w:cs="Arial" w:ascii="Arial" w:hAnsi="Arial"/>
          <w:sz w:val="20"/>
          <w:szCs w:val="20"/>
        </w:rPr>
        <w:t>4.1. Предприятие-изготовитель должно гарантировать соответствие свойств гипсовых вяжущих требованиям настоящего стандарта при соблюдении условий транспортирования и хранения.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41"/>
      <w:bookmarkEnd w:id="73"/>
      <w:r>
        <w:rPr>
          <w:rFonts w:cs="Arial" w:ascii="Arial" w:hAnsi="Arial"/>
          <w:sz w:val="20"/>
          <w:szCs w:val="20"/>
        </w:rPr>
        <w:t>Гарантийный срок хранения гипсовых вяжущих - 2 мес с момента изготовления.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4" w:name="sub_1000"/>
      <w:bookmarkEnd w:id="74"/>
      <w:r>
        <w:rPr>
          <w:rFonts w:cs="Arial" w:ascii="Arial" w:hAnsi="Arial"/>
          <w:b/>
          <w:bCs/>
          <w:sz w:val="20"/>
          <w:szCs w:val="20"/>
        </w:rPr>
        <w:t>Приложение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1000"/>
      <w:bookmarkStart w:id="76" w:name="sub_1000"/>
      <w:bookmarkEnd w:id="7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применения гипсовых    │     Рекомендуемая марка и вид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вяжущих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   Изготовление      гипсовых│Г-2 - Г-7, всех сроков  твердения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изделий всех видов   │степеней помола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 Изготовление    тонкостенных│Г-2  -  Г-7,  тонкого   и   среднего│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            изделий и│помола,   быстрого   и   нормального│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декоративных деталей              │твердения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Производство штукатурных работ,│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заделка швов и специальные цели   │Г-2 - Г-25, нормального и медленного│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твердения, среднего и тонкого помола│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Изготовление форм и  моделей  в│Г-5  -  Г-25,   тонкого     помола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фарфоро-фаянсовой,   керамической,│нормальными сроками твердения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машиностроительной    и     других│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отраслях промышленности,  а  также│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медицине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Для медицинских целей          │Г- 2 - Г-7, быстрого  и  нормального│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твердения, среднего и тонкого помола│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7" w:name="sub_2000"/>
      <w:bookmarkEnd w:id="77"/>
      <w:r>
        <w:rPr>
          <w:rFonts w:cs="Arial" w:ascii="Arial" w:hAnsi="Arial"/>
          <w:b/>
          <w:bCs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8" w:name="sub_2000"/>
      <w:bookmarkEnd w:id="78"/>
      <w:r>
        <w:rPr>
          <w:rFonts w:cs="Arial" w:ascii="Arial" w:hAnsi="Arial"/>
          <w:b/>
          <w:bCs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Информационные данные о соответствии</w:t>
        <w:br/>
        <w:t>ГОСТ 125-79 СТ СЭВ 826-77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1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Пункт 1.3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ГОСТ 125-79      соответствует пункту 1.1 СТ СЭВ 826-77.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1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Пункт 1.4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ГОСТ 125-79      соответствует пункту 1.2 СТ СЭВ 826-77.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1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Пункт 1.6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ГОСТ 125-79      соответствует пункту 1.3 СТ СЭВ 826-77.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Пункт 1.11 ГОСТ 125-79      соответствует пункту 1.4 СТ СЭВ 826-77.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2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Пункт 2.1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ГОСТ 125-79      соответствует пункту 2.1 СТ СЭВ 826-77.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2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Пункт 2.2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ГОСТ 125-79      соответствует пункту 2.2 СТ СЭВ 826-77.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2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Пункт 2.3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ГОСТ 125-79      соответствует пункту 2.3 СТ СЭВ 826-77.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3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Пункт 3.1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ГОСТ 125-79      соответствует пункту 4.1 СТ СЭВ 826-77.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3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Пункт 3.3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ГОСТ 125-79      соответствует пункту 4.2 СТ СЭВ 826-77.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3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Пункт 3.4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ГОСТ 125-79      соответствует пункту 4.4 СТ СЭВ 826-77.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Раздел 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ГОСТ 125-79      соответствует разделу 5 СТ СЭВ 826-77.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2007-02-27T15:16:00Z</dcterms:created>
  <dc:creator>VIKTOR</dc:creator>
  <dc:description/>
  <dc:language>ru-RU</dc:language>
  <cp:lastModifiedBy>VIKTOR</cp:lastModifiedBy>
  <dcterms:modified xsi:type="dcterms:W3CDTF">2007-03-13T07:35:00Z</dcterms:modified>
  <cp:revision>3</cp:revision>
  <dc:subject/>
  <dc:title/>
</cp:coreProperties>
</file>