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Межгосударственный стандарт ГОСТ 12.3.046-91</w:t>
        <w:br/>
        <w:t>"Система стандартов безопасности труда. Установки пожаротушения автоматические. Общие технические требования"</w:t>
        <w:br/>
        <w:t>(утв. постановлением Госстандарта СССР от 29 декабря 1991 г. N 2382)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 xml:space="preserve">Occupational safety standards system. Automatic fire fighting systems. </w:t>
      </w:r>
      <w:r>
        <w:rPr>
          <w:rFonts w:cs="Arial" w:ascii="Arial" w:hAnsi="Arial"/>
          <w:b/>
          <w:bCs/>
          <w:sz w:val="20"/>
          <w:szCs w:val="20"/>
        </w:rPr>
        <w:t>General technical requirements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1993 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 впервые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вновь разрабатываемые и модернизируемые автоматические установки (системы) пожаротушения (АУП), предназначенные для локализации или тушения и ликвидации пожара и одновременно выполняющие функции автоматической пожарной сигнализации, и устанавливает общие технические требования.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Требования, установленные стандартом, являются обязательными.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Термины, применяемые в стандарте, и пояснения к ним приведены в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1. Проектирование, изготовление, монтаж, наладку и эксплуатацию АУП следует производить в соответствии с требованиями настоящего стандарта, нормативно-технической документации и технических условий на АУП конкретного типа.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>2. АУП подразделяют: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"/>
      <w:bookmarkEnd w:id="3"/>
      <w:r>
        <w:rPr>
          <w:rFonts w:cs="Arial" w:ascii="Arial" w:hAnsi="Arial"/>
          <w:sz w:val="20"/>
          <w:szCs w:val="20"/>
        </w:rPr>
        <w:t>по конструктивному исполнению - на спринклерные, дренчерные, агрегатные, модульные;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виду огнетушащего вещества - на водяные, пенные, газовые, порошковые.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3"/>
      <w:bookmarkEnd w:id="4"/>
      <w:r>
        <w:rPr>
          <w:rFonts w:cs="Arial" w:ascii="Arial" w:hAnsi="Arial"/>
          <w:sz w:val="20"/>
          <w:szCs w:val="20"/>
        </w:rPr>
        <w:t>3. Необходимость применения и выбор типа АУП обусловливаются уровнем пожарной опасности конкретного объекта с учетом скорости развития пожара в начальной стадии и экономической целесообразности их применения по ГОСТ 12.1.004.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3"/>
      <w:bookmarkStart w:id="6" w:name="sub_4"/>
      <w:bookmarkEnd w:id="5"/>
      <w:bookmarkEnd w:id="6"/>
      <w:r>
        <w:rPr>
          <w:rFonts w:cs="Arial" w:ascii="Arial" w:hAnsi="Arial"/>
          <w:sz w:val="20"/>
          <w:szCs w:val="20"/>
        </w:rPr>
        <w:t>4. Конструктивные решения АУП должны соответствовать: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4"/>
      <w:bookmarkEnd w:id="7"/>
      <w:r>
        <w:rPr>
          <w:rFonts w:cs="Arial" w:ascii="Arial" w:hAnsi="Arial"/>
          <w:sz w:val="20"/>
          <w:szCs w:val="20"/>
        </w:rPr>
        <w:t>требованиям ГОСТ 15150 - в части категорий исполнения по устойчивости к климатическим воздействиям;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требованиям СНиП 2.04.02 и ГОСТ 12.1.012 - в части сейсмичности и вибрации;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особенностям строительных конструкций защищаемых объектов;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возможности сопряжения с технологической автоматикой защищаемого объекта;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расположению и работе технологического и подъемно-транспортного оборудования с целью исключения механических повреждений и ложных срабатываний АУП;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требованиям СНиП 3.05.05, ГОСТ 356 и ГОСТ 9544 - в части прочности и герметичности.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5"/>
      <w:bookmarkEnd w:id="8"/>
      <w:r>
        <w:rPr>
          <w:rFonts w:cs="Arial" w:ascii="Arial" w:hAnsi="Arial"/>
          <w:sz w:val="20"/>
          <w:szCs w:val="20"/>
        </w:rPr>
        <w:t>5. АУП должны быть безопасными в эксплуатации, монтаже и наладке для обслуживающего персонала и лиц, работающих в защищаемой зоне, согласно ГОСТ 12.4.009.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5"/>
      <w:bookmarkStart w:id="10" w:name="sub_6"/>
      <w:bookmarkEnd w:id="9"/>
      <w:bookmarkEnd w:id="10"/>
      <w:r>
        <w:rPr>
          <w:rFonts w:cs="Arial" w:ascii="Arial" w:hAnsi="Arial"/>
          <w:sz w:val="20"/>
          <w:szCs w:val="20"/>
        </w:rPr>
        <w:t>6. Исполнение электрооборудования, входящего в состав АУП, должно соответствовать требованиям эксплуатации и категории пожаро- и взрывоопасности защищаемого помещения и агрессивности среды согласно ПУЭ, ГОСТ 12.2.003, ГОСТ 12.2.007.0, ГОСТ 12.4.009, ГОСТ 12.1.019, СНиП П-М.2.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6"/>
      <w:bookmarkStart w:id="12" w:name="sub_7"/>
      <w:bookmarkEnd w:id="11"/>
      <w:bookmarkEnd w:id="12"/>
      <w:r>
        <w:rPr>
          <w:rFonts w:cs="Arial" w:ascii="Arial" w:hAnsi="Arial"/>
          <w:sz w:val="20"/>
          <w:szCs w:val="20"/>
        </w:rPr>
        <w:t>7. АУП должны обеспечивать: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7"/>
      <w:bookmarkEnd w:id="13"/>
      <w:r>
        <w:rPr>
          <w:rFonts w:cs="Arial" w:ascii="Arial" w:hAnsi="Arial"/>
          <w:sz w:val="20"/>
          <w:szCs w:val="20"/>
        </w:rPr>
        <w:t>срабатывание в течение времени менее начальной стадии развития пожара (критического времени свободного развития пожара) по ГОСТ 12.1.004;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локализацию пожара в течение времени, необходимого для введения в действие оперативных сил и средств;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тушение пожара с целью его ликвидации;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интенсивность подачи и (или) концентрацию огнетушащего вещества;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требуемую надежность функционирования (локализацию или тушение).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8"/>
      <w:bookmarkEnd w:id="14"/>
      <w:r>
        <w:rPr>
          <w:rFonts w:cs="Arial" w:ascii="Arial" w:hAnsi="Arial"/>
          <w:sz w:val="20"/>
          <w:szCs w:val="20"/>
        </w:rPr>
        <w:t>8. АУП должны быть оснащены устройствами: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8"/>
      <w:bookmarkEnd w:id="15"/>
      <w:r>
        <w:rPr>
          <w:rFonts w:cs="Arial" w:ascii="Arial" w:hAnsi="Arial"/>
          <w:sz w:val="20"/>
          <w:szCs w:val="20"/>
        </w:rPr>
        <w:t>выдачи звукового и светового сигналов оповещения о пожаре;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контроля давления (уровня) в заполненных трубопроводах и емкостях, содержащих огнетушащее вещество, и (или) контроля массы огнетушащего вещества;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ремонта и контроля работоспособности контрольно-пусковых узлов, распределительных устройств и насосов без выпуска огнетушащего вещества из распределительной сети и (или) емкостей, содержащих огнетушащее вещество (кроме модульных АУП);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подачи огнетушащего вещества от передвижной пожарной техники (для водяных и пенных АУП);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подвода газа и (или) жидкости для промывки (продувки) трубопроводов и при проведении испытаний;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монтажа и обслуживания оросителей и трубопроводов при заданной высоте их размещения.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9"/>
      <w:bookmarkEnd w:id="16"/>
      <w:r>
        <w:rPr>
          <w:rFonts w:cs="Arial" w:ascii="Arial" w:hAnsi="Arial"/>
          <w:sz w:val="20"/>
          <w:szCs w:val="20"/>
        </w:rPr>
        <w:t>9. АУП должны обеспечивать при объемном пожаротушения формирование командного импульса: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9"/>
      <w:bookmarkEnd w:id="17"/>
      <w:r>
        <w:rPr>
          <w:rFonts w:cs="Arial" w:ascii="Arial" w:hAnsi="Arial"/>
          <w:sz w:val="20"/>
          <w:szCs w:val="20"/>
        </w:rPr>
        <w:t>на автоматическое отключение вентиляции и перекрытие, при необходимости, проемов в смежные помещения до начала выпуска огнетушащего вещества в защищаемое помещение;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самозакрывание дверей;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задержку подачи огнетушащего вещества в защищаемый объем на время, необходимое для эвакуации людей по ГОСТ 12.1.004, но не менее чем на 30 с.</w:t>
      </w:r>
    </w:p>
    <w:p>
      <w:pPr>
        <w:pStyle w:val="Normal"/>
        <w:autoSpaceDE w:val="false"/>
        <w:ind w:firstLine="720"/>
        <w:jc w:val="both"/>
        <w:rPr/>
      </w:pPr>
      <w:bookmarkStart w:id="18" w:name="sub_10"/>
      <w:bookmarkEnd w:id="18"/>
      <w:r>
        <w:rPr>
          <w:rFonts w:cs="Arial" w:ascii="Arial" w:hAnsi="Arial"/>
          <w:sz w:val="20"/>
          <w:szCs w:val="20"/>
        </w:rPr>
        <w:t>10. При срабатывании автоматических установок объемного пожаротушения внутри защищаемого помещения должен выдаваться сигнал в виде надписи на световых табло "Газ (пена, порошок) - уходи!" и звуковой сигнал оповещения. У входа в защищаемое помещение должен включиться световой сигнал "Газ (пена, порошок) - не входить!", а в помещении дежурного персонала - соответствующий сигнал с информацией о подаче огентушащего вещества.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0"/>
      <w:bookmarkStart w:id="20" w:name="sub_11"/>
      <w:bookmarkEnd w:id="19"/>
      <w:bookmarkEnd w:id="20"/>
      <w:r>
        <w:rPr>
          <w:rFonts w:cs="Arial" w:ascii="Arial" w:hAnsi="Arial"/>
          <w:sz w:val="20"/>
          <w:szCs w:val="20"/>
        </w:rPr>
        <w:t>11. АУП, кроме спринклерных, должны быть оснащены ручным пуском: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1"/>
      <w:bookmarkEnd w:id="21"/>
      <w:r>
        <w:rPr>
          <w:rFonts w:cs="Arial" w:ascii="Arial" w:hAnsi="Arial"/>
          <w:sz w:val="20"/>
          <w:szCs w:val="20"/>
        </w:rPr>
        <w:t>дистанционным - от устройств, расположенных у входа в защищаемое помещение, и, при необходимости, - с пожарного поста;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местным - от устройств, установленных на запорно-пусковом узле и (или) на станции пожаротушения, расположенной внутри защищаемого помещения.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12"/>
      <w:bookmarkEnd w:id="22"/>
      <w:r>
        <w:rPr>
          <w:rFonts w:cs="Arial" w:ascii="Arial" w:hAnsi="Arial"/>
          <w:sz w:val="20"/>
          <w:szCs w:val="20"/>
        </w:rPr>
        <w:t>12. Устройства ручного пуска должны быть защищены от случайного приведения их в действие и механического повреждения и должны находиться вне возможной зоны горения.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2"/>
      <w:bookmarkStart w:id="24" w:name="sub_13"/>
      <w:bookmarkEnd w:id="23"/>
      <w:bookmarkEnd w:id="24"/>
      <w:r>
        <w:rPr>
          <w:rFonts w:cs="Arial" w:ascii="Arial" w:hAnsi="Arial"/>
          <w:sz w:val="20"/>
          <w:szCs w:val="20"/>
        </w:rPr>
        <w:t>13. Пенные АУП должны быть обеспечены устройствами для приготовления раствора или автоматического дозирования пенообразователя, предотвращения попадания пенообразователя (раствора пенообразователя) в сети водопроводов питьевого и производственного назначения, а также емкостями для слива пенообразователя из трубопроводов и распределительной сети.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13"/>
      <w:bookmarkStart w:id="26" w:name="sub_14"/>
      <w:bookmarkEnd w:id="25"/>
      <w:bookmarkEnd w:id="26"/>
      <w:r>
        <w:rPr>
          <w:rFonts w:cs="Arial" w:ascii="Arial" w:hAnsi="Arial"/>
          <w:sz w:val="20"/>
          <w:szCs w:val="20"/>
        </w:rPr>
        <w:t>14. АУП, кроме водяных, должны быть обеспечены 100%-ным, по отношению к расчетному, запасом огнетушащего вещества.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4"/>
      <w:bookmarkStart w:id="28" w:name="sub_15"/>
      <w:bookmarkEnd w:id="27"/>
      <w:bookmarkEnd w:id="28"/>
      <w:r>
        <w:rPr>
          <w:rFonts w:cs="Arial" w:ascii="Arial" w:hAnsi="Arial"/>
          <w:sz w:val="20"/>
          <w:szCs w:val="20"/>
        </w:rPr>
        <w:t>15. Пенные и газовые АУП должны иметь 100%-ный резерв огнетушащего вещества.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15"/>
      <w:bookmarkStart w:id="30" w:name="sub_16"/>
      <w:bookmarkEnd w:id="29"/>
      <w:bookmarkEnd w:id="30"/>
      <w:r>
        <w:rPr>
          <w:rFonts w:cs="Arial" w:ascii="Arial" w:hAnsi="Arial"/>
          <w:sz w:val="20"/>
          <w:szCs w:val="20"/>
        </w:rPr>
        <w:t>16. При использовании в газовых АУП в качестве огнетущащего вещества двуокиси углерода и составов, аналогичных по увеличению объема при фазовом переходе, в защищаемых помещениях должны быть предусмотрены устройства для сброса давления.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16"/>
      <w:bookmarkStart w:id="32" w:name="sub_16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" w:name="sub_1000"/>
      <w:bookmarkEnd w:id="33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4" w:name="sub_1000"/>
      <w:bookmarkEnd w:id="34"/>
      <w:r>
        <w:rPr>
          <w:rFonts w:cs="Arial" w:ascii="Arial" w:hAnsi="Arial"/>
          <w:b/>
          <w:bCs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Термины, применяемые в стандарте, и пояснения к ним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Термин                   │                      Пояснение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┼────────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1001"/>
      <w:bookmarkEnd w:id="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1. Автоматическая установка пожаротушения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│По ГОСТ 12.2.047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1001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1002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2. Пожар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│Неконтролируемое горение, развивающееся во  времени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1002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пространстве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1003"/>
      <w:bookmarkEnd w:id="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3. Локализация пожара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│По ГОСТ 12.1.033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1003"/>
      <w:bookmarkEnd w:id="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1004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4. Ликвидация пожара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│По ГОСТ 12.1.033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1004"/>
      <w:bookmarkEnd w:id="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1005"/>
      <w:bookmarkEnd w:id="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5. Тушение пожара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│По ГОСТ 12.1.033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1005"/>
      <w:bookmarkEnd w:id="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1006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6. Огнетушащее вещество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│По ГОСТ 12.1.033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1006"/>
      <w:bookmarkEnd w:id="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1007"/>
      <w:bookmarkEnd w:id="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7. Пожарная опасность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│По ГОСТ 12.1.033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1007"/>
      <w:bookmarkEnd w:id="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1008"/>
      <w:bookmarkEnd w:id="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8. Резерв огнетушащего вещества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│Требуемое количество огнетушащего вещества, готовое 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1008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немедленному   применению   в    случаях    повторного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воспламенения     или     невыполнения      установкой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пожаротушения своей задачи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1009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9. Запас огнетушащего вещества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│Требуемое количество огнетушащего вещества, хранящееся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1009"/>
      <w:bookmarkEnd w:id="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объекте в целях оперативного восстановления зарядов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огнетушащего вещества в установках пожаротушения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1010"/>
      <w:bookmarkEnd w:id="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10. Модульная установка пожаротушения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│По ГОСТ 12.2.047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1010"/>
      <w:bookmarkEnd w:id="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1011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11. Установка объемного пожаротушения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│По ГОСТ 12.2.047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1011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1012"/>
      <w:bookmarkEnd w:id="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12. Агрегатная установка пожаротушения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│Установка   пожаротушения,   в   которой   технические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1012"/>
      <w:bookmarkEnd w:id="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средства  обнаружения  пожара,  хранения,    выпуска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транспортирования огнетушащего вещества  конструктивно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представляют    собой     самостоятельные     единицы,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монтируемые непосредственно на защищаемом объекте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2007-05-02T13:42:00Z</dcterms:created>
  <dc:creator>VIKTOR</dc:creator>
  <dc:description/>
  <dc:language>ru-RU</dc:language>
  <cp:lastModifiedBy>VIKTOR</cp:lastModifiedBy>
  <dcterms:modified xsi:type="dcterms:W3CDTF">2007-05-02T13:42:00Z</dcterms:modified>
  <cp:revision>2</cp:revision>
  <dc:subject/>
  <dc:title/>
</cp:coreProperties>
</file>