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100" w:after="100"/>
        <w:outlineLvl w:val="0"/>
        <w:rPr>
          <w:rFonts w:ascii="Tahoma" w:hAnsi="Tahoma" w:cs="Tahoma"/>
          <w:b/>
          <w:b/>
          <w:bCs/>
          <w:color w:val="000000"/>
          <w:sz w:val="21"/>
          <w:szCs w:val="21"/>
        </w:rPr>
      </w:pPr>
      <w:r>
        <w:rPr>
          <w:rFonts w:cs="Tahoma" w:ascii="Tahoma" w:hAnsi="Tahoma"/>
          <w:b/>
          <w:bCs/>
          <w:color w:val="000000"/>
          <w:sz w:val="21"/>
          <w:szCs w:val="21"/>
        </w:rPr>
        <w:t>Федеральный закон от 26.03.2003 года №36-ФЗ</w:t>
      </w:r>
    </w:p>
    <w:p>
      <w:pPr>
        <w:pStyle w:val="Normal"/>
        <w:spacing w:before="60" w:after="60"/>
        <w:rPr>
          <w:rFonts w:ascii="Tahoma" w:hAnsi="Tahoma" w:cs="Tahoma"/>
          <w:color w:val="3B3B3B"/>
          <w:sz w:val="18"/>
          <w:szCs w:val="18"/>
        </w:rPr>
      </w:pPr>
      <w:r>
        <w:rPr>
          <w:rFonts w:cs="Tahoma" w:ascii="Tahoma" w:hAnsi="Tahoma"/>
          <w:b/>
          <w:bCs/>
          <w:color w:val="3B3B3B"/>
          <w:sz w:val="18"/>
        </w:rPr>
        <w: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Normal"/>
        <w:spacing w:before="60" w:after="60"/>
        <w:rPr>
          <w:rFonts w:ascii="Tahoma" w:hAnsi="Tahoma" w:cs="Tahoma"/>
          <w:color w:val="3B3B3B"/>
          <w:sz w:val="18"/>
          <w:szCs w:val="18"/>
        </w:rPr>
      </w:pPr>
      <w:r>
        <w:rPr>
          <w:rFonts w:cs="Tahoma" w:ascii="Tahoma" w:hAnsi="Tahoma"/>
          <w:color w:val="3B3B3B"/>
          <w:sz w:val="18"/>
          <w:szCs w:val="18"/>
        </w:rPr>
        <w:t>Принят Государственной Думой 21 февраля 2003 года</w:t>
      </w:r>
    </w:p>
    <w:p>
      <w:pPr>
        <w:pStyle w:val="Normal"/>
        <w:spacing w:before="60" w:after="60"/>
        <w:rPr>
          <w:rFonts w:ascii="Tahoma" w:hAnsi="Tahoma" w:cs="Tahoma"/>
          <w:color w:val="3B3B3B"/>
          <w:sz w:val="18"/>
          <w:szCs w:val="18"/>
        </w:rPr>
      </w:pPr>
      <w:r>
        <w:rPr>
          <w:rFonts w:cs="Tahoma" w:ascii="Tahoma" w:hAnsi="Tahoma"/>
          <w:color w:val="3B3B3B"/>
          <w:sz w:val="18"/>
          <w:szCs w:val="18"/>
        </w:rPr>
        <w:t>Одобрен Советом Федерации 12 марта 2003 года</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Федеральных законов от 28.12.2004 N 178-ФЗ, от 31.03.2006 N 54-ФЗ)</w:t>
      </w:r>
    </w:p>
    <w:p>
      <w:pPr>
        <w:pStyle w:val="Normal"/>
        <w:spacing w:before="60" w:after="60"/>
        <w:rPr/>
      </w:pPr>
      <w:r>
        <w:rPr>
          <w:rFonts w:cs="Tahoma" w:ascii="Tahoma" w:hAnsi="Tahoma"/>
          <w:b/>
          <w:bCs/>
          <w:color w:val="3B3B3B"/>
          <w:sz w:val="18"/>
        </w:rPr>
        <w:t>Статья 1.</w:t>
      </w:r>
      <w:r>
        <w:rPr>
          <w:rFonts w:cs="Tahoma" w:ascii="Tahoma" w:hAnsi="Tahoma"/>
          <w:color w:val="3B3B3B"/>
          <w:sz w:val="18"/>
          <w:szCs w:val="18"/>
        </w:rPr>
        <w:t xml:space="preserve"> Признать утратившим силу с 1 января 2005 года Федеральный закон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pPr>
        <w:pStyle w:val="Normal"/>
        <w:spacing w:before="60" w:after="60"/>
        <w:rPr/>
      </w:pPr>
      <w:r>
        <w:rPr>
          <w:rFonts w:cs="Tahoma" w:ascii="Tahoma" w:hAnsi="Tahoma"/>
          <w:b/>
          <w:bCs/>
          <w:color w:val="3B3B3B"/>
          <w:sz w:val="18"/>
        </w:rPr>
        <w:t>Статья 2.</w:t>
      </w:r>
      <w:r>
        <w:rPr>
          <w:rFonts w:cs="Tahoma" w:ascii="Tahoma" w:hAnsi="Tahoma"/>
          <w:color w:val="3B3B3B"/>
          <w:sz w:val="18"/>
          <w:szCs w:val="18"/>
        </w:rPr>
        <w:t xml:space="preserve"> Признать утратившими силу со дня вступления в силу в полном объеме Федерального закона "Об электроэнергетике" (даты окончания переходного периода реформирования электроэнергетики):</w:t>
      </w:r>
    </w:p>
    <w:p>
      <w:pPr>
        <w:pStyle w:val="Normal"/>
        <w:numPr>
          <w:ilvl w:val="0"/>
          <w:numId w:val="2"/>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w:t>
      </w:r>
    </w:p>
    <w:p>
      <w:pPr>
        <w:pStyle w:val="Normal"/>
        <w:numPr>
          <w:ilvl w:val="0"/>
          <w:numId w:val="2"/>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Федеральный закон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 </w:t>
      </w:r>
    </w:p>
    <w:p>
      <w:pPr>
        <w:pStyle w:val="Normal"/>
        <w:numPr>
          <w:ilvl w:val="0"/>
          <w:numId w:val="2"/>
        </w:numPr>
        <w:spacing w:before="60" w:after="0"/>
        <w:ind w:start="360" w:hanging="360"/>
        <w:rPr>
          <w:rFonts w:ascii="Tahoma" w:hAnsi="Tahoma" w:cs="Tahoma"/>
          <w:color w:val="575757"/>
          <w:sz w:val="18"/>
          <w:szCs w:val="18"/>
        </w:rPr>
      </w:pPr>
      <w:r>
        <w:rPr>
          <w:rFonts w:cs="Tahoma" w:ascii="Tahoma" w:hAnsi="Tahoma"/>
          <w:color w:val="575757"/>
          <w:sz w:val="18"/>
          <w:szCs w:val="18"/>
        </w:rPr>
        <w:t>Федеральный закон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pPr>
        <w:pStyle w:val="Normal"/>
        <w:rPr/>
      </w:pPr>
      <w:r>
        <w:rPr>
          <w:rFonts w:cs="Tahoma" w:ascii="Tahoma" w:hAnsi="Tahoma"/>
          <w:b/>
          <w:bCs/>
          <w:color w:val="3B3B3B"/>
          <w:sz w:val="18"/>
        </w:rPr>
        <w:t>Статья 3</w:t>
      </w:r>
      <w:r>
        <w:rPr>
          <w:rFonts w:cs="Tahoma" w:ascii="Tahoma" w:hAnsi="Tahoma"/>
          <w:color w:val="3B3B3B"/>
          <w:sz w:val="18"/>
          <w:szCs w:val="18"/>
        </w:rPr>
        <w:t xml:space="preserve"> настоящего Федерального закона вступила в силу с 1 января 2004 года (статья 14 данного документа).</w:t>
      </w:r>
    </w:p>
    <w:p>
      <w:pPr>
        <w:pStyle w:val="Normal"/>
        <w:rPr>
          <w:rFonts w:ascii="Tahoma" w:hAnsi="Tahoma" w:cs="Tahoma"/>
          <w:color w:val="3B3B3B"/>
          <w:sz w:val="18"/>
          <w:szCs w:val="18"/>
        </w:rPr>
      </w:pPr>
      <w:r>
        <w:rPr>
          <w:rFonts w:cs="Tahoma" w:ascii="Tahoma" w:hAnsi="Tahoma"/>
          <w:color w:val="3B3B3B"/>
          <w:sz w:val="18"/>
          <w:szCs w:val="18"/>
        </w:rPr>
        <w:t>Статья 3. Пункт 1 статьи 17 Федерального закона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дополнить абзацем следующего содержания:</w:t>
      </w:r>
    </w:p>
    <w:p>
      <w:pPr>
        <w:pStyle w:val="Normal"/>
        <w:numPr>
          <w:ilvl w:val="0"/>
          <w:numId w:val="4"/>
        </w:numPr>
        <w:spacing w:before="60" w:after="0"/>
        <w:ind w:start="360" w:hanging="360"/>
        <w:rPr>
          <w:rFonts w:ascii="Tahoma" w:hAnsi="Tahoma" w:cs="Tahoma"/>
          <w:color w:val="575757"/>
          <w:sz w:val="18"/>
          <w:szCs w:val="18"/>
        </w:rPr>
      </w:pPr>
      <w:r>
        <w:rPr>
          <w:rFonts w:cs="Tahoma" w:ascii="Tahoma" w:hAnsi="Tahoma"/>
          <w:color w:val="575757"/>
          <w:sz w:val="18"/>
          <w:szCs w:val="18"/>
        </w:rPr>
        <w:t>"деятельность по продаже электрической энергии гражданам.".</w:t>
      </w:r>
    </w:p>
    <w:p>
      <w:pPr>
        <w:pStyle w:val="Normal"/>
        <w:spacing w:before="60" w:after="60"/>
        <w:rPr/>
      </w:pPr>
      <w:r>
        <w:rPr>
          <w:rFonts w:cs="Tahoma" w:ascii="Tahoma" w:hAnsi="Tahoma"/>
          <w:b/>
          <w:bCs/>
          <w:color w:val="3B3B3B"/>
          <w:sz w:val="18"/>
        </w:rPr>
        <w:t>Статья 4</w:t>
      </w:r>
      <w:r>
        <w:rPr>
          <w:rFonts w:cs="Tahoma" w:ascii="Tahoma" w:hAnsi="Tahoma"/>
          <w:color w:val="3B3B3B"/>
          <w:sz w:val="18"/>
          <w:szCs w:val="18"/>
        </w:rPr>
        <w:t>. В целях обеспечения государственного контроля за реализацией мероприятий по реформированию электроэнергетики со дня вступления в силу Федерального закона "Об электроэнергетике" решения органов управления Российского 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pPr>
        <w:pStyle w:val="Normal"/>
        <w:spacing w:before="60" w:after="60"/>
        <w:rPr>
          <w:rFonts w:ascii="Tahoma" w:hAnsi="Tahoma" w:cs="Tahoma"/>
          <w:color w:val="3B3B3B"/>
          <w:sz w:val="18"/>
          <w:szCs w:val="18"/>
        </w:rPr>
      </w:pPr>
      <w:r>
        <w:rPr>
          <w:rFonts w:cs="Tahoma" w:ascii="Tahoma" w:hAnsi="Tahoma"/>
          <w:color w:val="3B3B3B"/>
          <w:sz w:val="18"/>
          <w:szCs w:val="18"/>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pPr>
        <w:pStyle w:val="Normal"/>
        <w:spacing w:before="60" w:after="60"/>
        <w:rPr>
          <w:rFonts w:ascii="Tahoma" w:hAnsi="Tahoma" w:cs="Tahoma"/>
          <w:color w:val="3B3B3B"/>
          <w:sz w:val="18"/>
          <w:szCs w:val="18"/>
        </w:rPr>
      </w:pPr>
      <w:r>
        <w:rPr>
          <w:rFonts w:cs="Tahoma" w:ascii="Tahoma" w:hAnsi="Tahoma"/>
          <w:color w:val="3B3B3B"/>
          <w:sz w:val="18"/>
          <w:szCs w:val="18"/>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pPr>
        <w:pStyle w:val="Normal"/>
        <w:spacing w:before="60" w:after="60"/>
        <w:rPr>
          <w:rFonts w:ascii="Tahoma" w:hAnsi="Tahoma" w:cs="Tahoma"/>
          <w:color w:val="3B3B3B"/>
          <w:sz w:val="18"/>
          <w:szCs w:val="18"/>
        </w:rPr>
      </w:pPr>
      <w:r>
        <w:rPr>
          <w:rFonts w:cs="Tahoma" w:ascii="Tahoma" w:hAnsi="Tahoma"/>
          <w:color w:val="3B3B3B"/>
          <w:sz w:val="18"/>
          <w:szCs w:val="18"/>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pPr>
        <w:pStyle w:val="Normal"/>
        <w:spacing w:before="60" w:after="60"/>
        <w:rPr>
          <w:rFonts w:ascii="Tahoma" w:hAnsi="Tahoma" w:cs="Tahoma"/>
          <w:color w:val="3B3B3B"/>
          <w:sz w:val="18"/>
          <w:szCs w:val="18"/>
        </w:rPr>
      </w:pPr>
      <w:r>
        <w:rPr>
          <w:rFonts w:cs="Tahoma" w:ascii="Tahoma" w:hAnsi="Tahoma"/>
          <w:color w:val="3B3B3B"/>
          <w:sz w:val="18"/>
          <w:szCs w:val="18"/>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pPr>
        <w:pStyle w:val="Normal"/>
        <w:spacing w:before="60" w:after="60"/>
        <w:rPr>
          <w:rFonts w:ascii="Tahoma" w:hAnsi="Tahoma" w:cs="Tahoma"/>
          <w:color w:val="3B3B3B"/>
          <w:sz w:val="18"/>
          <w:szCs w:val="18"/>
        </w:rPr>
      </w:pPr>
      <w:r>
        <w:rPr>
          <w:rFonts w:cs="Tahoma" w:ascii="Tahoma" w:hAnsi="Tahoma"/>
          <w:color w:val="3B3B3B"/>
          <w:sz w:val="18"/>
          <w:szCs w:val="18"/>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pPr>
        <w:pStyle w:val="Normal"/>
        <w:spacing w:before="60" w:after="60"/>
        <w:rPr/>
      </w:pPr>
      <w:r>
        <w:rPr>
          <w:rFonts w:cs="Tahoma" w:ascii="Tahoma" w:hAnsi="Tahoma"/>
          <w:b/>
          <w:bCs/>
          <w:color w:val="3B3B3B"/>
          <w:sz w:val="18"/>
        </w:rPr>
        <w:t>Статья 5</w:t>
      </w:r>
      <w:r>
        <w:rPr>
          <w:rFonts w:cs="Tahoma" w:ascii="Tahoma" w:hAnsi="Tahoma"/>
          <w:color w:val="3B3B3B"/>
          <w:sz w:val="18"/>
          <w:szCs w:val="18"/>
        </w:rPr>
        <w:t>.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программой изменения уровня государственных регулируемых цен (тарифов) в электроэнергетике.</w:t>
      </w:r>
    </w:p>
    <w:p>
      <w:pPr>
        <w:pStyle w:val="Normal"/>
        <w:spacing w:before="60" w:after="60"/>
        <w:rPr/>
      </w:pPr>
      <w:r>
        <w:rPr>
          <w:rFonts w:cs="Tahoma" w:ascii="Tahoma" w:hAnsi="Tahoma"/>
          <w:b/>
          <w:bCs/>
          <w:color w:val="3B3B3B"/>
          <w:sz w:val="18"/>
        </w:rPr>
        <w:t>Статья 6.</w:t>
      </w:r>
      <w:r>
        <w:rPr>
          <w:rFonts w:cs="Tahoma" w:ascii="Tahoma" w:hAnsi="Tahoma"/>
          <w:color w:val="3B3B3B"/>
          <w:sz w:val="18"/>
          <w:szCs w:val="18"/>
        </w:rPr>
        <w:t xml:space="preserve"> В течение переходного периода реформирования электроэнергетики к полномочиям Правительства Российской Федерации относятся:</w:t>
      </w:r>
    </w:p>
    <w:p>
      <w:pPr>
        <w:pStyle w:val="Normal"/>
        <w:numPr>
          <w:ilvl w:val="0"/>
          <w:numId w:val="5"/>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установление предельного объема электрической энергии, продажа которого разрешается по свободным (нерегулируемым) ценам каждому субъекту оптового рынка - поставщику электрической энергии; </w:t>
      </w:r>
    </w:p>
    <w:p>
      <w:pPr>
        <w:pStyle w:val="Normal"/>
        <w:numPr>
          <w:ilvl w:val="0"/>
          <w:numId w:val="5"/>
        </w:numPr>
        <w:spacing w:before="60" w:after="0"/>
        <w:ind w:start="360" w:hanging="360"/>
        <w:rPr>
          <w:rFonts w:ascii="Tahoma" w:hAnsi="Tahoma" w:cs="Tahoma"/>
          <w:color w:val="575757"/>
          <w:sz w:val="18"/>
          <w:szCs w:val="18"/>
        </w:rPr>
      </w:pPr>
      <w:r>
        <w:rPr>
          <w:rFonts w:cs="Tahoma" w:ascii="Tahoma" w:hAnsi="Tahoma"/>
          <w:color w:val="575757"/>
          <w:sz w:val="18"/>
          <w:szCs w:val="18"/>
        </w:rPr>
        <w:t>определение перечня зон оптового рынка (далее - ценовые зоны оптового рынка), совпадающих с территорией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pPr>
        <w:pStyle w:val="Normal"/>
        <w:spacing w:before="60" w:after="60"/>
        <w:rPr>
          <w:rFonts w:ascii="Tahoma" w:hAnsi="Tahoma" w:cs="Tahoma"/>
          <w:color w:val="3B3B3B"/>
          <w:sz w:val="18"/>
          <w:szCs w:val="18"/>
        </w:rPr>
      </w:pPr>
      <w:r>
        <w:rPr>
          <w:rFonts w:cs="Tahoma" w:ascii="Tahoma" w:hAnsi="Tahoma"/>
          <w:color w:val="3B3B3B"/>
          <w:sz w:val="18"/>
          <w:szCs w:val="18"/>
        </w:rPr>
        <w:t>В отношении остального объема электрической энергии до даты окончания переходного периода реформирования электроэнергетики сохраняется государственное регулирование цен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До даты окончания переходного периода реформирования электроэнергетики 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В течение переходного периода реформирования электроэнергетики производители электрической энергии, определяемые Правительством Российской Федерации, обязаны заключить долгосрочные договоры поставки электрической энергии гарантирующим поставщикам электрической энергии, которые вступают в силу с даты окончания переходного периода реформирования электроэнергетики и действуют в течение трех лет.</w:t>
      </w:r>
    </w:p>
    <w:p>
      <w:pPr>
        <w:pStyle w:val="Normal"/>
        <w:spacing w:before="60" w:after="60"/>
        <w:rPr>
          <w:rFonts w:ascii="Tahoma" w:hAnsi="Tahoma" w:cs="Tahoma"/>
          <w:color w:val="3B3B3B"/>
          <w:sz w:val="18"/>
          <w:szCs w:val="18"/>
        </w:rPr>
      </w:pPr>
      <w:r>
        <w:rPr>
          <w:rFonts w:cs="Tahoma" w:ascii="Tahoma" w:hAnsi="Tahoma"/>
          <w:color w:val="3B3B3B"/>
          <w:sz w:val="18"/>
          <w:szCs w:val="18"/>
        </w:rPr>
        <w:t>Правительство Российской Федерации определяет условия долгосрочных договоров поставки электрической энергии гарантирующим поставщикам электрической энергии с учетом следующих требований:</w:t>
      </w:r>
    </w:p>
    <w:p>
      <w:pPr>
        <w:pStyle w:val="Normal"/>
        <w:numPr>
          <w:ilvl w:val="0"/>
          <w:numId w:val="10"/>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о продаже гарантирующим поставщикам в необходимом объеме электрической энергии по указанным договорам для обеспечения потребления электрической энергии населением и оказания населению коммунальных услуг; </w:t>
      </w:r>
    </w:p>
    <w:p>
      <w:pPr>
        <w:pStyle w:val="Normal"/>
        <w:numPr>
          <w:ilvl w:val="0"/>
          <w:numId w:val="10"/>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о продаже электрической энергии одному или нескольким гарантирующим поставщикам электрической энергии в объеме до 35 процентов электрической энергии, производимой каждым производителем. Указанный объем определяется с учетом долей генерирующих компаний в фактическом балансе производства электрической энергии за предшествующий дате заключения договора год; </w:t>
      </w:r>
    </w:p>
    <w:p>
      <w:pPr>
        <w:pStyle w:val="Normal"/>
        <w:numPr>
          <w:ilvl w:val="0"/>
          <w:numId w:val="10"/>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об определении начальной цены на электрическую энергию, поставляемую по указанным договорам, в размере не ниже тарифа, установленного для генерирующей компании на момент заключения договора органом государственного регулирования цен (тарифов); </w:t>
      </w:r>
    </w:p>
    <w:p>
      <w:pPr>
        <w:pStyle w:val="Normal"/>
        <w:numPr>
          <w:ilvl w:val="0"/>
          <w:numId w:val="10"/>
        </w:numPr>
        <w:spacing w:before="60" w:after="0"/>
        <w:ind w:start="360" w:hanging="360"/>
        <w:rPr>
          <w:rFonts w:ascii="Tahoma" w:hAnsi="Tahoma" w:cs="Tahoma"/>
          <w:color w:val="575757"/>
          <w:sz w:val="18"/>
          <w:szCs w:val="18"/>
        </w:rPr>
      </w:pPr>
      <w:r>
        <w:rPr>
          <w:rFonts w:cs="Tahoma" w:ascii="Tahoma" w:hAnsi="Tahoma"/>
          <w:color w:val="575757"/>
          <w:sz w:val="18"/>
          <w:szCs w:val="18"/>
        </w:rPr>
        <w:t>о зависимости уровня цены на электрическую энергию, поставляемую по указанным договорам, от уровня средней цены на электрическую энергию на оптовом рынке с ежегодным уменьшением разницы между указанными ценами.</w:t>
      </w:r>
    </w:p>
    <w:p>
      <w:pPr>
        <w:pStyle w:val="Normal"/>
        <w:spacing w:before="60" w:after="60"/>
        <w:rPr>
          <w:rFonts w:ascii="Tahoma" w:hAnsi="Tahoma" w:cs="Tahoma"/>
          <w:color w:val="3B3B3B"/>
          <w:sz w:val="18"/>
          <w:szCs w:val="18"/>
        </w:rPr>
      </w:pPr>
      <w:r>
        <w:rPr>
          <w:rFonts w:cs="Tahoma" w:ascii="Tahoma" w:hAnsi="Tahoma"/>
          <w:color w:val="3B3B3B"/>
          <w:sz w:val="18"/>
          <w:szCs w:val="18"/>
        </w:rPr>
        <w:t>С 1 апреля 2006 года юридическим лицам и индивидуальным предпринимателям запрещается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а с даты окончания переходного периода реформирования электроэнергетики группам лиц и аффилированным лицам в границах одной ценовой зоны оптового рынка.</w:t>
      </w:r>
    </w:p>
    <w:p>
      <w:pPr>
        <w:pStyle w:val="Normal"/>
        <w:spacing w:before="60" w:after="60"/>
        <w:rPr>
          <w:rFonts w:ascii="Tahoma" w:hAnsi="Tahoma" w:cs="Tahoma"/>
          <w:color w:val="3B3B3B"/>
          <w:sz w:val="18"/>
          <w:szCs w:val="18"/>
        </w:rPr>
      </w:pPr>
      <w:r>
        <w:rPr>
          <w:rFonts w:cs="Tahoma" w:ascii="Tahoma" w:hAnsi="Tahoma"/>
          <w:color w:val="3B3B3B"/>
          <w:sz w:val="18"/>
          <w:szCs w:val="18"/>
        </w:rPr>
        <w:t>В целях обеспечения реализации указанных требований с 1 апреля 2006 года не допускается одновременно иметь на праве собственности или на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купле-продаже электрической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Требования настоящей статьи не распространяются на:</w:t>
      </w:r>
    </w:p>
    <w:p>
      <w:pPr>
        <w:pStyle w:val="Normal"/>
        <w:numPr>
          <w:ilvl w:val="0"/>
          <w:numId w:val="7"/>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 </w:t>
      </w:r>
    </w:p>
    <w:p>
      <w:pPr>
        <w:pStyle w:val="Normal"/>
        <w:numPr>
          <w:ilvl w:val="0"/>
          <w:numId w:val="7"/>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 </w:t>
      </w:r>
    </w:p>
    <w:p>
      <w:pPr>
        <w:pStyle w:val="Normal"/>
        <w:numPr>
          <w:ilvl w:val="0"/>
          <w:numId w:val="7"/>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территориальные сетевые организации в случае, если им в установленном законодательством Российской Федерации порядке присвоен статус гарантирующего поставщика электрической энергии; </w:t>
      </w:r>
    </w:p>
    <w:p>
      <w:pPr>
        <w:pStyle w:val="Normal"/>
        <w:numPr>
          <w:ilvl w:val="0"/>
          <w:numId w:val="7"/>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 </w:t>
      </w:r>
    </w:p>
    <w:p>
      <w:pPr>
        <w:pStyle w:val="Normal"/>
        <w:numPr>
          <w:ilvl w:val="0"/>
          <w:numId w:val="7"/>
        </w:numPr>
        <w:spacing w:before="60" w:after="0"/>
        <w:ind w:start="360" w:hanging="360"/>
        <w:rPr/>
      </w:pPr>
      <w:r>
        <w:rPr>
          <w:rFonts w:cs="Tahoma" w:ascii="Tahoma" w:hAnsi="Tahoma"/>
          <w:color w:val="575757"/>
          <w:sz w:val="18"/>
          <w:szCs w:val="18"/>
        </w:rPr>
        <w:t>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особенностей функционирования хозяйствующих субъектов и при условии направления ими уведомления об использовании указанных объектов электроэнергетики в уполномоченный Правительством Российской Федерации федеральный орган исполнительной власти.</w:t>
      </w:r>
    </w:p>
    <w:p>
      <w:pPr>
        <w:pStyle w:val="Normal"/>
        <w:spacing w:before="60" w:after="60"/>
        <w:rPr>
          <w:rFonts w:ascii="Tahoma" w:hAnsi="Tahoma" w:cs="Tahoma"/>
          <w:color w:val="3B3B3B"/>
          <w:sz w:val="18"/>
          <w:szCs w:val="18"/>
        </w:rPr>
      </w:pPr>
      <w:r>
        <w:rPr>
          <w:rFonts w:cs="Tahoma" w:ascii="Tahoma" w:hAnsi="Tahoma"/>
          <w:color w:val="3B3B3B"/>
          <w:sz w:val="18"/>
          <w:szCs w:val="18"/>
        </w:rPr>
        <w:t>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уполномоченным Правительством Российской Федерации федеральным органом исполнительной власти.</w:t>
      </w:r>
    </w:p>
    <w:p>
      <w:pPr>
        <w:pStyle w:val="Normal"/>
        <w:spacing w:before="60" w:after="60"/>
        <w:rPr>
          <w:rFonts w:ascii="Tahoma" w:hAnsi="Tahoma" w:cs="Tahoma"/>
          <w:color w:val="3B3B3B"/>
          <w:sz w:val="18"/>
          <w:szCs w:val="18"/>
        </w:rPr>
      </w:pPr>
      <w:r>
        <w:rPr>
          <w:rFonts w:cs="Tahoma" w:ascii="Tahoma" w:hAnsi="Tahoma"/>
          <w:color w:val="3B3B3B"/>
          <w:sz w:val="18"/>
          <w:szCs w:val="18"/>
        </w:rPr>
        <w:t>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уполномоченного Правительством Российской Федерации федерального органа исполнительной власти в установленный им срок в соответствии с законодательством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В случае принудительной реорганизации акционерных обществ предусматривается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pPr>
        <w:pStyle w:val="Normal"/>
        <w:spacing w:before="60" w:after="60"/>
        <w:rPr>
          <w:rFonts w:ascii="Tahoma" w:hAnsi="Tahoma" w:cs="Tahoma"/>
          <w:color w:val="3B3B3B"/>
          <w:sz w:val="18"/>
          <w:szCs w:val="18"/>
        </w:rPr>
      </w:pPr>
      <w:r>
        <w:rPr>
          <w:rFonts w:cs="Tahoma" w:ascii="Tahoma" w:hAnsi="Tahoma"/>
          <w:color w:val="3B3B3B"/>
          <w:sz w:val="18"/>
          <w:szCs w:val="18"/>
        </w:rPr>
        <w:t>Цены на продукцию (работы, услуги) хозяйствующих субъектов, которые на день вступления в силу Федерального закона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pPr>
        <w:pStyle w:val="Normal"/>
        <w:spacing w:before="60" w:after="60"/>
        <w:rPr>
          <w:rFonts w:ascii="Tahoma" w:hAnsi="Tahoma" w:cs="Tahoma"/>
          <w:color w:val="3B3B3B"/>
          <w:sz w:val="18"/>
          <w:szCs w:val="18"/>
        </w:rPr>
      </w:pPr>
      <w:r>
        <w:rPr>
          <w:rFonts w:cs="Tahoma" w:ascii="Tahoma" w:hAnsi="Tahoma"/>
          <w:color w:val="3B3B3B"/>
          <w:sz w:val="18"/>
          <w:szCs w:val="18"/>
        </w:rPr>
        <w:t>Контроль за выполнением хозяйствующими субъектами требований настоящей статьи, в том числе контроль за соблюдением особенностей функционирования хозяйствующих субъектов, осуществляет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(статья 6 в ред. Федерального закона от 31.03.2006 N 54-ФЗ)</w:t>
      </w:r>
    </w:p>
    <w:p>
      <w:pPr>
        <w:pStyle w:val="Normal"/>
        <w:spacing w:before="60" w:after="60"/>
        <w:rPr/>
      </w:pPr>
      <w:r>
        <w:rPr>
          <w:rFonts w:cs="Tahoma" w:ascii="Tahoma" w:hAnsi="Tahoma"/>
          <w:b/>
          <w:bCs/>
          <w:color w:val="3B3B3B"/>
          <w:sz w:val="18"/>
        </w:rPr>
        <w:t>Статья 7.</w:t>
      </w:r>
      <w:r>
        <w:rPr>
          <w:rFonts w:cs="Tahoma" w:ascii="Tahoma" w:hAnsi="Tahoma"/>
          <w:color w:val="3B3B3B"/>
          <w:sz w:val="18"/>
          <w:szCs w:val="18"/>
        </w:rPr>
        <w:t xml:space="preserve"> С даты окончания переходного периода реформирования электроэнергетики любые организации (за исключением гарантирующих поставщиков электрической энергии и организаций, в отношении которых Федеральным законом "Об электроэнергетике" предусмотрен запрет на участие в отношениях, связанных с обращением электрической энергии), осуществляющие деятельность в качестве энергосбытовых организаций, продают электрическую энергию потребителям по свободным ценам после получения в установленных законодательством Российской Федерации случаях и в порядке лицензии на осуществление указанного вида деятельности.</w:t>
      </w:r>
    </w:p>
    <w:p>
      <w:pPr>
        <w:pStyle w:val="Normal"/>
        <w:spacing w:before="60" w:after="60"/>
        <w:rPr>
          <w:rFonts w:ascii="Tahoma" w:hAnsi="Tahoma" w:cs="Tahoma"/>
          <w:color w:val="3B3B3B"/>
          <w:sz w:val="18"/>
          <w:szCs w:val="18"/>
        </w:rPr>
      </w:pPr>
      <w:r>
        <w:rPr>
          <w:rFonts w:cs="Tahoma" w:ascii="Tahoma" w:hAnsi="Tahoma"/>
          <w:color w:val="3B3B3B"/>
          <w:sz w:val="18"/>
          <w:szCs w:val="18"/>
        </w:rPr>
        <w:t>Погашение ранее образовавшейся задолженности за потребленную электрическую энергию осуществляется по соглашению сторон в порядке, установленном Правительством Российской Федерации, в соответствии с законодательством Российской Федерации.</w:t>
      </w:r>
    </w:p>
    <w:p>
      <w:pPr>
        <w:pStyle w:val="Normal"/>
        <w:spacing w:before="60" w:after="60"/>
        <w:rPr/>
      </w:pPr>
      <w:r>
        <w:rPr>
          <w:rFonts w:cs="Tahoma" w:ascii="Tahoma" w:hAnsi="Tahoma"/>
          <w:b/>
          <w:bCs/>
          <w:color w:val="3B3B3B"/>
          <w:sz w:val="18"/>
        </w:rPr>
        <w:t>Статья 8.</w:t>
      </w:r>
      <w:r>
        <w:rPr>
          <w:rFonts w:cs="Tahoma" w:ascii="Tahoma" w:hAnsi="Tahoma"/>
          <w:color w:val="3B3B3B"/>
          <w:sz w:val="18"/>
          <w:szCs w:val="18"/>
        </w:rPr>
        <w:t xml:space="preserve">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pPr>
        <w:pStyle w:val="Normal"/>
        <w:numPr>
          <w:ilvl w:val="0"/>
          <w:numId w:val="6"/>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статьей 7 Федерального закона "Об электроэнергетике" к единой национальной (общероссийской) электрической сети; </w:t>
      </w:r>
    </w:p>
    <w:p>
      <w:pPr>
        <w:pStyle w:val="Normal"/>
        <w:numPr>
          <w:ilvl w:val="0"/>
          <w:numId w:val="6"/>
        </w:numPr>
        <w:spacing w:before="60" w:after="0"/>
        <w:ind w:start="360" w:hanging="360"/>
        <w:rPr>
          <w:rFonts w:ascii="Tahoma" w:hAnsi="Tahoma" w:cs="Tahoma"/>
          <w:color w:val="575757"/>
          <w:sz w:val="18"/>
          <w:szCs w:val="18"/>
        </w:rPr>
      </w:pPr>
      <w:r>
        <w:rPr>
          <w:rFonts w:cs="Tahoma" w:ascii="Tahoma" w:hAnsi="Tahoma"/>
          <w:color w:val="575757"/>
          <w:sz w:val="18"/>
          <w:szCs w:val="18"/>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pPr>
        <w:pStyle w:val="Normal"/>
        <w:spacing w:before="60" w:after="60"/>
        <w:rPr>
          <w:rFonts w:ascii="Tahoma" w:hAnsi="Tahoma" w:cs="Tahoma"/>
          <w:color w:val="3B3B3B"/>
          <w:sz w:val="18"/>
          <w:szCs w:val="18"/>
        </w:rPr>
      </w:pPr>
      <w:r>
        <w:rPr>
          <w:rFonts w:cs="Tahoma" w:ascii="Tahoma" w:hAnsi="Tahoma"/>
          <w:color w:val="3B3B3B"/>
          <w:sz w:val="18"/>
          <w:szCs w:val="18"/>
        </w:rPr>
        <w:t>Участие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в размере не менее чем 52 процента обеспечивается не позднее даты окончания переходного периода реформирования электроэнергетики.</w:t>
      </w:r>
    </w:p>
    <w:p>
      <w:pPr>
        <w:pStyle w:val="Normal"/>
        <w:spacing w:before="60" w:after="60"/>
        <w:rPr>
          <w:rFonts w:ascii="Tahoma" w:hAnsi="Tahoma" w:cs="Tahoma"/>
          <w:color w:val="3B3B3B"/>
          <w:sz w:val="18"/>
          <w:szCs w:val="18"/>
        </w:rPr>
      </w:pPr>
      <w:r>
        <w:rPr>
          <w:rFonts w:cs="Tahoma" w:ascii="Tahoma" w:hAnsi="Tahoma"/>
          <w:color w:val="3B3B3B"/>
          <w:sz w:val="18"/>
          <w:szCs w:val="18"/>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w:t>
      </w:r>
    </w:p>
    <w:p>
      <w:pPr>
        <w:pStyle w:val="Normal"/>
        <w:spacing w:before="60" w:after="60"/>
        <w:rPr>
          <w:rFonts w:ascii="Tahoma" w:hAnsi="Tahoma" w:cs="Tahoma"/>
          <w:color w:val="3B3B3B"/>
          <w:sz w:val="18"/>
          <w:szCs w:val="18"/>
        </w:rPr>
      </w:pPr>
      <w:r>
        <w:rPr>
          <w:rFonts w:cs="Tahoma" w:ascii="Tahoma" w:hAnsi="Tahoma"/>
          <w:color w:val="3B3B3B"/>
          <w:sz w:val="18"/>
          <w:szCs w:val="18"/>
        </w:rPr>
        <w:t>В последующий период Российская Федерация способами, предусмотренными законодательством Российской Федерации, увеличивает долю своего участия в уставных капиталах организации по управлению единой национальной (общероссийской) электрической сетью и в уставном капитале системного оператора до уровня не менее чем 75 процентов плюс одна голосующая акция, в том числе за счет снижения доли участия Российской Федерации в генерирующих компаниях с учетом ограничений, установленных статьей 9 настоящего Федерального закона.</w:t>
      </w:r>
    </w:p>
    <w:p>
      <w:pPr>
        <w:pStyle w:val="Normal"/>
        <w:spacing w:before="60" w:after="60"/>
        <w:rPr/>
      </w:pPr>
      <w:r>
        <w:rPr>
          <w:rFonts w:cs="Tahoma" w:ascii="Tahoma" w:hAnsi="Tahoma"/>
          <w:b/>
          <w:bCs/>
          <w:color w:val="3B3B3B"/>
          <w:sz w:val="18"/>
        </w:rPr>
        <w:t>Статья 9.</w:t>
      </w:r>
      <w:r>
        <w:rPr>
          <w:rFonts w:cs="Tahoma" w:ascii="Tahoma" w:hAnsi="Tahoma"/>
          <w:color w:val="3B3B3B"/>
          <w:sz w:val="18"/>
          <w:szCs w:val="18"/>
        </w:rPr>
        <w:t xml:space="preserve"> Атомные электростанции в соответствии с федеральными законами об использовании атомной энергии могут находиться исключительно в федеральной собственности.</w:t>
      </w:r>
    </w:p>
    <w:p>
      <w:pPr>
        <w:pStyle w:val="Normal"/>
        <w:spacing w:before="60" w:after="60"/>
        <w:rPr>
          <w:rFonts w:ascii="Tahoma" w:hAnsi="Tahoma" w:cs="Tahoma"/>
          <w:color w:val="3B3B3B"/>
          <w:sz w:val="18"/>
          <w:szCs w:val="18"/>
        </w:rPr>
      </w:pPr>
      <w:r>
        <w:rPr>
          <w:rFonts w:cs="Tahoma" w:ascii="Tahoma" w:hAnsi="Tahoma"/>
          <w:color w:val="3B3B3B"/>
          <w:sz w:val="18"/>
          <w:szCs w:val="18"/>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pPr>
        <w:pStyle w:val="Normal"/>
        <w:numPr>
          <w:ilvl w:val="0"/>
          <w:numId w:val="8"/>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 </w:t>
      </w:r>
    </w:p>
    <w:p>
      <w:pPr>
        <w:pStyle w:val="Normal"/>
        <w:numPr>
          <w:ilvl w:val="0"/>
          <w:numId w:val="8"/>
        </w:numPr>
        <w:spacing w:before="60" w:after="0"/>
        <w:ind w:start="360" w:hanging="360"/>
        <w:rPr>
          <w:rFonts w:ascii="Tahoma" w:hAnsi="Tahoma" w:cs="Tahoma"/>
          <w:color w:val="575757"/>
          <w:sz w:val="18"/>
          <w:szCs w:val="18"/>
        </w:rPr>
      </w:pPr>
      <w:r>
        <w:rPr>
          <w:rFonts w:cs="Tahoma" w:ascii="Tahoma" w:hAnsi="Tahoma"/>
          <w:color w:val="575757"/>
          <w:sz w:val="18"/>
          <w:szCs w:val="18"/>
        </w:rPr>
        <w:t>организаций (или их правопреемников), по отношению к которым указанные акционерные общества являются дочерними обществами.</w:t>
      </w:r>
    </w:p>
    <w:p>
      <w:pPr>
        <w:pStyle w:val="Normal"/>
        <w:spacing w:before="60" w:after="60"/>
        <w:rPr>
          <w:rFonts w:ascii="Tahoma" w:hAnsi="Tahoma" w:cs="Tahoma"/>
          <w:color w:val="3B3B3B"/>
          <w:sz w:val="18"/>
          <w:szCs w:val="18"/>
        </w:rPr>
      </w:pPr>
      <w:r>
        <w:rPr>
          <w:rFonts w:cs="Tahoma" w:ascii="Tahoma" w:hAnsi="Tahoma"/>
          <w:color w:val="3B3B3B"/>
          <w:sz w:val="18"/>
          <w:szCs w:val="18"/>
        </w:rPr>
        <w:t>При создании генерирующих компаний на базе электростанций, введенных в эксплуатацию до дня вступления в силу Федерального закона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pPr>
        <w:pStyle w:val="Normal"/>
        <w:spacing w:before="60" w:after="60"/>
        <w:rPr/>
      </w:pPr>
      <w:r>
        <w:rPr>
          <w:rFonts w:cs="Tahoma" w:ascii="Tahoma" w:hAnsi="Tahoma"/>
          <w:b/>
          <w:bCs/>
          <w:color w:val="3B3B3B"/>
          <w:sz w:val="18"/>
        </w:rPr>
        <w:t>Статья 10.</w:t>
      </w:r>
      <w:r>
        <w:rPr>
          <w:rFonts w:cs="Tahoma" w:ascii="Tahoma" w:hAnsi="Tahoma"/>
          <w:color w:val="3B3B3B"/>
          <w:sz w:val="18"/>
          <w:szCs w:val="18"/>
        </w:rPr>
        <w:t xml:space="preserve"> Правила оптового рынка, предусмотренные статьей 21 Федерального закона "Об электроэнергетике", вступают в силу не ранее 1 июля 2005 года.</w:t>
      </w:r>
    </w:p>
    <w:p>
      <w:pPr>
        <w:pStyle w:val="Normal"/>
        <w:spacing w:before="60" w:after="60"/>
        <w:rPr>
          <w:rFonts w:ascii="Tahoma" w:hAnsi="Tahoma" w:cs="Tahoma"/>
          <w:color w:val="3B3B3B"/>
          <w:sz w:val="18"/>
          <w:szCs w:val="18"/>
        </w:rPr>
      </w:pPr>
      <w:r>
        <w:rPr>
          <w:rFonts w:cs="Tahoma" w:ascii="Tahoma" w:hAnsi="Tahoma"/>
          <w:color w:val="3B3B3B"/>
          <w:sz w:val="18"/>
          <w:szCs w:val="18"/>
        </w:rP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pPr>
        <w:pStyle w:val="Normal"/>
        <w:spacing w:before="60" w:after="60"/>
        <w:rPr>
          <w:rFonts w:ascii="Tahoma" w:hAnsi="Tahoma" w:cs="Tahoma"/>
          <w:color w:val="3B3B3B"/>
          <w:sz w:val="18"/>
          <w:szCs w:val="18"/>
        </w:rPr>
      </w:pPr>
      <w:r>
        <w:rPr>
          <w:rFonts w:cs="Tahoma" w:ascii="Tahoma" w:hAnsi="Tahoma"/>
          <w:color w:val="3B3B3B"/>
          <w:sz w:val="18"/>
          <w:szCs w:val="18"/>
        </w:rPr>
        <w:t>Правительство Российской Федерации в течение переходного периода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pPr>
        <w:pStyle w:val="Normal"/>
        <w:spacing w:before="60" w:after="60"/>
        <w:rPr/>
      </w:pPr>
      <w:r>
        <w:rPr>
          <w:rFonts w:cs="Tahoma" w:ascii="Tahoma" w:hAnsi="Tahoma"/>
          <w:b/>
          <w:bCs/>
          <w:color w:val="3B3B3B"/>
          <w:sz w:val="18"/>
        </w:rPr>
        <w:t>Статья 11.</w:t>
      </w:r>
      <w:r>
        <w:rPr>
          <w:rFonts w:cs="Tahoma" w:ascii="Tahoma" w:hAnsi="Tahoma"/>
          <w:color w:val="3B3B3B"/>
          <w:sz w:val="18"/>
          <w:szCs w:val="18"/>
        </w:rPr>
        <w:t xml:space="preserve"> В целях обеспечения государственного контроля за деятельностью администратора торговой системы оптового рынка по обеспечению функционирования оптового рынка электрической энергии (мощности) уполномоченный Правительством Российской Федерации федеральный орган исполнительной власти:</w:t>
      </w:r>
    </w:p>
    <w:p>
      <w:pPr>
        <w:pStyle w:val="Normal"/>
        <w:numPr>
          <w:ilvl w:val="0"/>
          <w:numId w:val="9"/>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обладает правом вето в отношении решений органов управления администратора торговой системы оптового рынка; </w:t>
      </w:r>
    </w:p>
    <w:p>
      <w:pPr>
        <w:pStyle w:val="Normal"/>
        <w:numPr>
          <w:ilvl w:val="0"/>
          <w:numId w:val="9"/>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направляет в органы управления администратора торговой системы оптового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администратора торговой системы оптового рынка, к компетенции которого относится решение данных вопросов; </w:t>
      </w:r>
    </w:p>
    <w:p>
      <w:pPr>
        <w:pStyle w:val="Normal"/>
        <w:numPr>
          <w:ilvl w:val="0"/>
          <w:numId w:val="9"/>
        </w:numPr>
        <w:spacing w:before="60" w:after="0"/>
        <w:ind w:start="360" w:hanging="360"/>
        <w:rPr>
          <w:rFonts w:ascii="Tahoma" w:hAnsi="Tahoma" w:cs="Tahoma"/>
          <w:color w:val="575757"/>
          <w:sz w:val="18"/>
          <w:szCs w:val="18"/>
        </w:rPr>
      </w:pPr>
      <w:r>
        <w:rPr>
          <w:rFonts w:cs="Tahoma" w:ascii="Tahoma" w:hAnsi="Tahoma"/>
          <w:color w:val="575757"/>
          <w:sz w:val="18"/>
          <w:szCs w:val="18"/>
        </w:rPr>
        <w:t>принимает решение по направленным в органы управления администратора торговой системы оптового рынка вопросам в случае, если указанные органы в течение 45 дней не приняли по ним решения.</w:t>
      </w:r>
    </w:p>
    <w:p>
      <w:pPr>
        <w:pStyle w:val="Normal"/>
        <w:spacing w:before="60" w:after="60"/>
        <w:rPr>
          <w:rFonts w:ascii="Tahoma" w:hAnsi="Tahoma" w:cs="Tahoma"/>
          <w:color w:val="3B3B3B"/>
          <w:sz w:val="18"/>
          <w:szCs w:val="18"/>
        </w:rPr>
      </w:pPr>
      <w:r>
        <w:rPr>
          <w:rFonts w:cs="Tahoma" w:ascii="Tahoma" w:hAnsi="Tahoma"/>
          <w:color w:val="3B3B3B"/>
          <w:sz w:val="18"/>
          <w:szCs w:val="18"/>
        </w:rPr>
        <w:t>Со дня вступления в силу Федерального закона "Об электроэнергетике" и в течение переходного периода реформирования электроэнергетики в наблюдательном совете администратора торговой системы оптового рынка обеспечивается участие следующих представителей:</w:t>
      </w:r>
    </w:p>
    <w:p>
      <w:pPr>
        <w:pStyle w:val="Normal"/>
        <w:numPr>
          <w:ilvl w:val="0"/>
          <w:numId w:val="3"/>
        </w:numPr>
        <w:spacing w:before="60" w:after="0"/>
        <w:ind w:start="360" w:hanging="360"/>
        <w:rPr>
          <w:rFonts w:ascii="Tahoma" w:hAnsi="Tahoma" w:cs="Tahoma"/>
          <w:color w:val="575757"/>
          <w:sz w:val="18"/>
          <w:szCs w:val="18"/>
        </w:rPr>
      </w:pPr>
      <w:r>
        <w:rPr>
          <w:rFonts w:cs="Tahoma" w:ascii="Tahoma" w:hAnsi="Tahoma"/>
          <w:color w:val="575757"/>
          <w:sz w:val="18"/>
          <w:szCs w:val="18"/>
        </w:rPr>
        <w:t xml:space="preserve">четыре уполномоченных Правительством Российской Федерации представителя федеральных органов исполнительной власти, а также два уполномоченных представителя Государственной Думы Федерального Собрания Российской Федерации и два - Совета Федерации Федерального Собрания Российской Федерации; </w:t>
      </w:r>
    </w:p>
    <w:p>
      <w:pPr>
        <w:pStyle w:val="Normal"/>
        <w:numPr>
          <w:ilvl w:val="0"/>
          <w:numId w:val="3"/>
        </w:numPr>
        <w:spacing w:before="60" w:after="0"/>
        <w:ind w:start="360" w:hanging="360"/>
        <w:rPr>
          <w:rFonts w:ascii="Tahoma" w:hAnsi="Tahoma" w:cs="Tahoma"/>
          <w:color w:val="575757"/>
          <w:sz w:val="18"/>
          <w:szCs w:val="18"/>
        </w:rPr>
      </w:pPr>
      <w:r>
        <w:rPr>
          <w:rFonts w:cs="Tahoma" w:ascii="Tahoma" w:hAnsi="Tahoma"/>
          <w:color w:val="575757"/>
          <w:sz w:val="18"/>
          <w:szCs w:val="18"/>
        </w:rPr>
        <w:t>восемь представителей поставщиков и покупателей электрической энергии.</w:t>
      </w:r>
    </w:p>
    <w:p>
      <w:pPr>
        <w:pStyle w:val="Normal"/>
        <w:spacing w:before="60" w:after="60"/>
        <w:rPr/>
      </w:pPr>
      <w:r>
        <w:rPr>
          <w:rFonts w:cs="Tahoma" w:ascii="Tahoma" w:hAnsi="Tahoma"/>
          <w:b/>
          <w:bCs/>
          <w:color w:val="3B3B3B"/>
          <w:sz w:val="18"/>
        </w:rPr>
        <w:t>Статья 12.</w:t>
      </w:r>
      <w:r>
        <w:rPr>
          <w:rFonts w:cs="Tahoma" w:ascii="Tahoma" w:hAnsi="Tahoma"/>
          <w:color w:val="3B3B3B"/>
          <w:sz w:val="18"/>
          <w:szCs w:val="18"/>
        </w:rPr>
        <w:t xml:space="preserve">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pPr>
        <w:pStyle w:val="Normal"/>
        <w:spacing w:before="60" w:after="60"/>
        <w:rPr>
          <w:rFonts w:ascii="Tahoma" w:hAnsi="Tahoma" w:cs="Tahoma"/>
          <w:color w:val="3B3B3B"/>
          <w:sz w:val="18"/>
          <w:szCs w:val="18"/>
        </w:rPr>
      </w:pPr>
      <w:r>
        <w:rPr>
          <w:rFonts w:cs="Tahoma" w:ascii="Tahoma" w:hAnsi="Tahoma"/>
          <w:color w:val="3B3B3B"/>
          <w:sz w:val="18"/>
          <w:szCs w:val="18"/>
        </w:rPr>
        <w:t>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перечень которых утверждается Правительством Российской Федерации.</w:t>
      </w:r>
    </w:p>
    <w:p>
      <w:pPr>
        <w:pStyle w:val="Normal"/>
        <w:spacing w:before="60" w:after="60"/>
        <w:rPr/>
      </w:pPr>
      <w:r>
        <w:rPr>
          <w:rFonts w:cs="Tahoma" w:ascii="Tahoma" w:hAnsi="Tahoma"/>
          <w:b/>
          <w:bCs/>
          <w:color w:val="3B3B3B"/>
          <w:sz w:val="18"/>
        </w:rPr>
        <w:t>Статья 13.</w:t>
      </w:r>
      <w:r>
        <w:rPr>
          <w:rFonts w:cs="Tahoma" w:ascii="Tahoma" w:hAnsi="Tahoma"/>
          <w:color w:val="3B3B3B"/>
          <w:sz w:val="18"/>
          <w:szCs w:val="18"/>
        </w:rPr>
        <w:t xml:space="preserve">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Normal"/>
        <w:spacing w:before="60" w:after="60"/>
        <w:rPr>
          <w:rFonts w:ascii="Tahoma" w:hAnsi="Tahoma" w:cs="Tahoma"/>
          <w:color w:val="3B3B3B"/>
          <w:sz w:val="18"/>
          <w:szCs w:val="18"/>
        </w:rPr>
      </w:pPr>
      <w:r>
        <w:rPr>
          <w:rFonts w:cs="Tahoma" w:ascii="Tahoma" w:hAnsi="Tahoma"/>
          <w:color w:val="3B3B3B"/>
          <w:sz w:val="18"/>
          <w:szCs w:val="18"/>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pPr>
        <w:pStyle w:val="Normal"/>
        <w:spacing w:before="60" w:after="60"/>
        <w:rPr/>
      </w:pPr>
      <w:r>
        <w:rPr>
          <w:rFonts w:cs="Tahoma" w:ascii="Tahoma" w:hAnsi="Tahoma"/>
          <w:b/>
          <w:bCs/>
          <w:color w:val="3B3B3B"/>
          <w:sz w:val="18"/>
        </w:rPr>
        <w:t>Статья 14.</w:t>
      </w:r>
      <w:r>
        <w:rPr>
          <w:rFonts w:cs="Tahoma" w:ascii="Tahoma" w:hAnsi="Tahoma"/>
          <w:color w:val="3B3B3B"/>
          <w:sz w:val="18"/>
          <w:szCs w:val="18"/>
        </w:rPr>
        <w:t xml:space="preserve"> Настоящий Федеральный закон вступает в силу со дня его официального опубликования, за исключением статьи 3.</w:t>
      </w:r>
    </w:p>
    <w:p>
      <w:pPr>
        <w:pStyle w:val="Normal"/>
        <w:spacing w:before="60" w:after="60"/>
        <w:rPr>
          <w:rFonts w:ascii="Tahoma" w:hAnsi="Tahoma" w:cs="Tahoma"/>
          <w:color w:val="3B3B3B"/>
          <w:sz w:val="18"/>
          <w:szCs w:val="18"/>
        </w:rPr>
      </w:pPr>
      <w:r>
        <w:rPr>
          <w:rFonts w:cs="Tahoma" w:ascii="Tahoma" w:hAnsi="Tahoma"/>
          <w:color w:val="3B3B3B"/>
          <w:sz w:val="18"/>
          <w:szCs w:val="18"/>
        </w:rPr>
        <w:t>Статья 3 настоящего Федерального закона вступает в силу с 1 января 2004 года.</w:t>
      </w:r>
    </w:p>
    <w:p>
      <w:pPr>
        <w:pStyle w:val="Normal"/>
        <w:spacing w:before="60" w:after="60"/>
        <w:rPr>
          <w:rFonts w:ascii="Tahoma" w:hAnsi="Tahoma" w:cs="Tahoma"/>
          <w:color w:val="3B3B3B"/>
          <w:sz w:val="18"/>
          <w:szCs w:val="18"/>
        </w:rPr>
      </w:pPr>
      <w:r>
        <w:rPr>
          <w:rFonts w:cs="Tahoma" w:ascii="Tahoma" w:hAnsi="Tahoma"/>
          <w:i/>
          <w:iCs/>
          <w:color w:val="3B3B3B"/>
          <w:sz w:val="18"/>
        </w:rPr>
        <w:t>Президент Российской Федерации</w:t>
      </w:r>
    </w:p>
    <w:p>
      <w:pPr>
        <w:pStyle w:val="Normal"/>
        <w:spacing w:before="60" w:after="60"/>
        <w:rPr>
          <w:rFonts w:ascii="Tahoma" w:hAnsi="Tahoma" w:cs="Tahoma"/>
          <w:color w:val="3B3B3B"/>
          <w:sz w:val="18"/>
          <w:szCs w:val="18"/>
        </w:rPr>
      </w:pPr>
      <w:r>
        <w:rPr>
          <w:rFonts w:cs="Tahoma" w:ascii="Tahoma" w:hAnsi="Tahoma"/>
          <w:i/>
          <w:iCs/>
          <w:color w:val="3B3B3B"/>
          <w:sz w:val="18"/>
        </w:rPr>
        <w:t>В.ПУТИН</w:t>
      </w:r>
    </w:p>
    <w:p>
      <w:pPr>
        <w:pStyle w:val="Normal"/>
        <w:spacing w:before="60" w:after="60"/>
        <w:rPr>
          <w:rFonts w:ascii="Tahoma" w:hAnsi="Tahoma" w:cs="Tahoma"/>
          <w:color w:val="3B3B3B"/>
          <w:sz w:val="18"/>
          <w:szCs w:val="18"/>
        </w:rPr>
      </w:pPr>
      <w:r>
        <w:rPr>
          <w:rFonts w:cs="Tahoma" w:ascii="Tahoma" w:hAnsi="Tahoma"/>
          <w:color w:val="3B3B3B"/>
          <w:sz w:val="18"/>
          <w:szCs w:val="18"/>
        </w:rPr>
        <w:t>Москва, Кремль 26 марта 2003 года</w:t>
      </w:r>
    </w:p>
    <w:p>
      <w:pPr>
        <w:pStyle w:val="Normal"/>
        <w:spacing w:before="60" w:after="60"/>
        <w:rPr>
          <w:rFonts w:ascii="Tahoma" w:hAnsi="Tahoma" w:cs="Tahoma"/>
          <w:color w:val="3B3B3B"/>
          <w:sz w:val="18"/>
          <w:szCs w:val="18"/>
        </w:rPr>
      </w:pPr>
      <w:r>
        <w:rPr>
          <w:rFonts w:cs="Tahoma" w:ascii="Tahoma" w:hAnsi="Tahoma"/>
          <w:color w:val="3B3B3B"/>
          <w:sz w:val="18"/>
          <w:szCs w:val="18"/>
        </w:rPr>
        <w:t>N 36-ФЗ</w:t>
      </w:r>
    </w:p>
    <w:p>
      <w:pPr>
        <w:pStyle w:val="Normal"/>
        <w:rPr>
          <w:rFonts w:ascii="Tahoma" w:hAnsi="Tahoma" w:cs="Tahoma"/>
          <w:color w:val="3B3B3B"/>
          <w:sz w:val="18"/>
          <w:szCs w:val="18"/>
        </w:rPr>
      </w:pPr>
      <w:r>
        <w:rPr>
          <w:rFonts w:cs="Tahoma" w:ascii="Tahoma" w:hAnsi="Tahoma"/>
          <w:color w:val="3B3B3B"/>
          <w:sz w:val="18"/>
          <w:szCs w:val="18"/>
        </w:rPr>
      </w:r>
    </w:p>
    <w:sectPr>
      <w:type w:val="nextPage"/>
      <w:pgSz w:w="11906" w:h="16838"/>
      <w:pgMar w:left="567" w:right="284" w:header="0" w:top="567" w:footer="0"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Symbol">
    <w:charset w:val="01"/>
    <w:family w:val="roman"/>
    <w:pitch w:val="variable"/>
  </w:font>
  <w:font w:name="Courier New">
    <w:charset w:val="cc" w:characterSet="windows-1251"/>
    <w:family w:val="modern"/>
    <w:pitch w:val="default"/>
  </w:font>
  <w:font w:name="Wingdings">
    <w:charset w:val="02"/>
    <w:family w:val="auto"/>
    <w:pitch w:val="variable"/>
  </w:font>
  <w:font w:name="Liberation Sans">
    <w:altName w:val="Arial"/>
    <w:charset w:val="01" w:characterSet="utf-8"/>
    <w:family w:val="swiss"/>
    <w:pitch w:val="variable"/>
  </w:font>
  <w:font w:name="Tahoma">
    <w:charset w:val="cc" w:characterSet="windows-1251"/>
    <w:family w:val="swiss"/>
    <w:pitch w:val="variable"/>
  </w:font>
  <w:font w:name="Courier New">
    <w:charset w:val="cc" w:characterSet="windows-125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3">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4">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5">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6">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7">
    <w:lvl w:ilvl="0">
      <w:start w:val="1"/>
      <w:numFmt w:val="bullet"/>
      <w:lvlText w:val=""/>
      <w:lvlJc w:val="start"/>
      <w:pPr>
        <w:tabs>
          <w:tab w:val="num" w:pos="720"/>
        </w:tabs>
        <w:ind w:start="720" w:hanging="360"/>
      </w:pPr>
      <w:rPr>
        <w:rFonts w:ascii="Symbol" w:hAnsi="Symbol" w:cs="Symbol" w:hint="default"/>
        <w:sz w:val="20"/>
        <w:szCs w:val="18"/>
        <w:rFonts w:cs="Symbol"/>
        <w:color w:val="575757"/>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8">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9">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abstractNum w:abstractNumId="10">
    <w:lvl w:ilvl="0">
      <w:start w:val="1"/>
      <w:numFmt w:val="bullet"/>
      <w:lvlText w:val=""/>
      <w:lvlJc w:val="start"/>
      <w:pPr>
        <w:tabs>
          <w:tab w:val="num" w:pos="720"/>
        </w:tabs>
        <w:ind w:start="720" w:hanging="360"/>
      </w:pPr>
      <w:rPr>
        <w:rFonts w:ascii="Symbol" w:hAnsi="Symbol" w:cs="Symbol" w:hint="default"/>
        <w:sz w:val="20"/>
        <w:rFonts w:cs="Symbol"/>
      </w:rPr>
    </w:lvl>
    <w:lvl w:ilvl="1">
      <w:start w:val="1"/>
      <w:numFmt w:val="bullet"/>
      <w:lvlText w:val="o"/>
      <w:lvlJc w:val="start"/>
      <w:pPr>
        <w:tabs>
          <w:tab w:val="num" w:pos="1440"/>
        </w:tabs>
        <w:ind w:start="1440" w:hanging="360"/>
      </w:pPr>
      <w:rPr>
        <w:rFonts w:ascii="Courier New" w:hAnsi="Courier New" w:cs="Courier New" w:hint="default"/>
        <w:sz w:val="20"/>
        <w:rFonts w:cs="Courier New"/>
      </w:rPr>
    </w:lvl>
    <w:lvl w:ilvl="2">
      <w:start w:val="1"/>
      <w:numFmt w:val="bullet"/>
      <w:lvlText w:val=""/>
      <w:lvlJc w:val="start"/>
      <w:pPr>
        <w:tabs>
          <w:tab w:val="num" w:pos="2160"/>
        </w:tabs>
        <w:ind w:start="2160" w:hanging="360"/>
      </w:pPr>
      <w:rPr>
        <w:rFonts w:ascii="Wingdings" w:hAnsi="Wingdings" w:cs="Wingdings" w:hint="default"/>
        <w:sz w:val="20"/>
        <w:rFonts w:cs="Wingdings"/>
      </w:rPr>
    </w:lvl>
    <w:lvl w:ilvl="3">
      <w:start w:val="1"/>
      <w:numFmt w:val="bullet"/>
      <w:lvlText w:val=""/>
      <w:lvlJc w:val="start"/>
      <w:pPr>
        <w:tabs>
          <w:tab w:val="num" w:pos="2880"/>
        </w:tabs>
        <w:ind w:start="2880" w:hanging="360"/>
      </w:pPr>
      <w:rPr>
        <w:rFonts w:ascii="Wingdings" w:hAnsi="Wingdings" w:cs="Wingdings" w:hint="default"/>
        <w:sz w:val="20"/>
        <w:rFonts w:cs="Wingdings"/>
      </w:rPr>
    </w:lvl>
    <w:lvl w:ilvl="4">
      <w:start w:val="1"/>
      <w:numFmt w:val="bullet"/>
      <w:lvlText w:val=""/>
      <w:lvlJc w:val="start"/>
      <w:pPr>
        <w:tabs>
          <w:tab w:val="num" w:pos="3600"/>
        </w:tabs>
        <w:ind w:start="3600" w:hanging="360"/>
      </w:pPr>
      <w:rPr>
        <w:rFonts w:ascii="Wingdings" w:hAnsi="Wingdings" w:cs="Wingdings" w:hint="default"/>
        <w:sz w:val="20"/>
        <w:rFonts w:cs="Wingdings"/>
      </w:rPr>
    </w:lvl>
    <w:lvl w:ilvl="5">
      <w:start w:val="1"/>
      <w:numFmt w:val="bullet"/>
      <w:lvlText w:val=""/>
      <w:lvlJc w:val="start"/>
      <w:pPr>
        <w:tabs>
          <w:tab w:val="num" w:pos="4320"/>
        </w:tabs>
        <w:ind w:start="4320" w:hanging="360"/>
      </w:pPr>
      <w:rPr>
        <w:rFonts w:ascii="Wingdings" w:hAnsi="Wingdings" w:cs="Wingdings" w:hint="default"/>
        <w:sz w:val="20"/>
        <w:rFonts w:cs="Wingdings"/>
      </w:rPr>
    </w:lvl>
    <w:lvl w:ilvl="6">
      <w:start w:val="1"/>
      <w:numFmt w:val="bullet"/>
      <w:lvlText w:val=""/>
      <w:lvlJc w:val="start"/>
      <w:pPr>
        <w:tabs>
          <w:tab w:val="num" w:pos="5040"/>
        </w:tabs>
        <w:ind w:start="5040" w:hanging="360"/>
      </w:pPr>
      <w:rPr>
        <w:rFonts w:ascii="Wingdings" w:hAnsi="Wingdings" w:cs="Wingdings" w:hint="default"/>
        <w:sz w:val="20"/>
        <w:rFonts w:cs="Wingdings"/>
      </w:rPr>
    </w:lvl>
    <w:lvl w:ilvl="7">
      <w:start w:val="1"/>
      <w:numFmt w:val="bullet"/>
      <w:lvlText w:val=""/>
      <w:lvlJc w:val="start"/>
      <w:pPr>
        <w:tabs>
          <w:tab w:val="num" w:pos="5760"/>
        </w:tabs>
        <w:ind w:start="5760" w:hanging="360"/>
      </w:pPr>
      <w:rPr>
        <w:rFonts w:ascii="Wingdings" w:hAnsi="Wingdings" w:cs="Wingdings" w:hint="default"/>
        <w:sz w:val="20"/>
        <w:rFonts w:cs="Wingdings"/>
      </w:rPr>
    </w:lvl>
    <w:lvl w:ilvl="8">
      <w:start w:val="1"/>
      <w:numFmt w:val="bullet"/>
      <w:lvlText w:val=""/>
      <w:lvlJc w:val="start"/>
      <w:pPr>
        <w:tabs>
          <w:tab w:val="num" w:pos="6480"/>
        </w:tabs>
        <w:ind w:star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Style17"/>
    <w:qFormat/>
    <w:pPr>
      <w:numPr>
        <w:ilvl w:val="0"/>
        <w:numId w:val="1"/>
      </w:numPr>
      <w:spacing w:before="100" w:after="100"/>
      <w:outlineLvl w:val="0"/>
      <w:outlineLvl w:val="0"/>
    </w:pPr>
    <w:rPr>
      <w:b/>
      <w:bCs/>
      <w:color w:val="00000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color w:val="575757"/>
      <w:sz w:val="20"/>
      <w:szCs w:val="18"/>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Style13">
    <w:name w:val="Основной шрифт абзаца"/>
    <w:qFormat/>
    <w:rPr/>
  </w:style>
  <w:style w:type="character" w:styleId="Style14">
    <w:name w:val="Выделение жирным"/>
    <w:basedOn w:val="Style13"/>
    <w:qFormat/>
    <w:rPr>
      <w:b/>
      <w:bCs/>
    </w:rPr>
  </w:style>
  <w:style w:type="character" w:styleId="Style15">
    <w:name w:val="Выделение"/>
    <w:basedOn w:val="Style13"/>
    <w:qFormat/>
    <w:rPr>
      <w:i/>
      <w:iCs/>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Обычный (веб)"/>
    <w:basedOn w:val="Normal"/>
    <w:qFormat/>
    <w:pPr>
      <w:spacing w:before="60" w:after="60"/>
    </w:pPr>
    <w:rPr>
      <w:rFonts w:ascii="Tahoma" w:hAnsi="Tahoma" w:cs="Tahoma"/>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2007-01-15T10:17:00Z</dcterms:created>
  <dc:creator>VIKTOR</dc:creator>
  <dc:description/>
  <dc:language>ru-RU</dc:language>
  <cp:lastModifiedBy>VIKTOR</cp:lastModifiedBy>
  <dcterms:modified xsi:type="dcterms:W3CDTF">2007-01-15T10:18:00Z</dcterms:modified>
  <cp:revision>2</cp:revision>
  <dc:subject/>
  <dc:title/>
</cp:coreProperties>
</file>